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方正大标宋_GBK" w:hAnsi="黑体" w:eastAsia="方正大标宋_GBK" w:cstheme="minorBidi"/>
          <w:sz w:val="44"/>
          <w:szCs w:val="44"/>
        </w:rPr>
      </w:pPr>
    </w:p>
    <w:p>
      <w:pPr>
        <w:adjustRightInd w:val="0"/>
        <w:snapToGrid w:val="0"/>
        <w:jc w:val="center"/>
        <w:rPr>
          <w:rFonts w:ascii="方正大标宋_GBK" w:hAnsi="黑体" w:eastAsia="方正大标宋_GBK" w:cstheme="minorBidi"/>
          <w:sz w:val="44"/>
          <w:szCs w:val="44"/>
        </w:rPr>
      </w:pPr>
    </w:p>
    <w:p>
      <w:pPr>
        <w:adjustRightInd w:val="0"/>
        <w:snapToGrid w:val="0"/>
        <w:jc w:val="center"/>
        <w:rPr>
          <w:rFonts w:ascii="方正大标宋_GBK" w:hAnsi="黑体" w:eastAsia="方正大标宋_GBK" w:cstheme="minorBidi"/>
          <w:sz w:val="44"/>
          <w:szCs w:val="44"/>
        </w:rPr>
      </w:pPr>
      <w:r>
        <w:rPr>
          <w:rFonts w:hint="eastAsia" w:ascii="方正大标宋_GBK" w:hAnsi="黑体" w:eastAsia="方正大标宋_GBK" w:cstheme="minorBidi"/>
          <w:sz w:val="44"/>
          <w:szCs w:val="44"/>
        </w:rPr>
        <w:t>新型诈骗易感人群异常特征</w:t>
      </w:r>
    </w:p>
    <w:p>
      <w:pPr>
        <w:adjustRightInd w:val="0"/>
        <w:snapToGrid w:val="0"/>
        <w:jc w:val="center"/>
        <w:rPr>
          <w:rFonts w:hint="eastAsia" w:ascii="方正大标宋_GBK" w:hAnsi="黑体" w:eastAsia="方正大标宋_GBK" w:cstheme="minorBidi"/>
          <w:sz w:val="44"/>
          <w:szCs w:val="44"/>
        </w:rPr>
      </w:pPr>
      <w:r>
        <w:rPr>
          <w:rFonts w:hint="eastAsia" w:ascii="方正大标宋_GBK" w:hAnsi="黑体" w:eastAsia="方正大标宋_GBK" w:cstheme="minorBidi"/>
          <w:sz w:val="44"/>
          <w:szCs w:val="44"/>
        </w:rPr>
        <w:t>识别模型与精准预防</w:t>
      </w:r>
      <w:bookmarkStart w:id="2" w:name="_GoBack"/>
      <w:bookmarkEnd w:id="2"/>
      <w:r>
        <w:rPr>
          <w:rFonts w:hint="eastAsia" w:ascii="方正大标宋_GBK" w:hAnsi="黑体" w:eastAsia="方正大标宋_GBK" w:cstheme="minorBidi"/>
          <w:sz w:val="44"/>
          <w:szCs w:val="44"/>
        </w:rPr>
        <w:t>研究</w:t>
      </w:r>
    </w:p>
    <w:p>
      <w:pPr>
        <w:spacing w:before="312" w:beforeLines="100"/>
        <w:jc w:val="center"/>
        <w:rPr>
          <w:rFonts w:ascii="楷体" w:hAnsi="楷体" w:eastAsia="楷体" w:cs="仿宋_GB2312"/>
          <w:sz w:val="30"/>
          <w:szCs w:val="30"/>
        </w:rPr>
      </w:pPr>
      <w:r>
        <w:rPr>
          <w:rFonts w:hint="eastAsia" w:ascii="楷体" w:hAnsi="楷体" w:eastAsia="楷体" w:cs="仿宋_GB2312"/>
          <w:sz w:val="30"/>
          <w:szCs w:val="30"/>
        </w:rPr>
        <w:t>夏 琳</w:t>
      </w:r>
      <w:r>
        <w:rPr>
          <w:rStyle w:val="16"/>
          <w:rFonts w:hint="eastAsia" w:ascii="楷体" w:hAnsi="楷体" w:eastAsia="楷体" w:cs="仿宋_GB2312"/>
          <w:color w:val="CCE8CF" w:themeColor="background1"/>
          <w:sz w:val="30"/>
          <w:szCs w:val="30"/>
          <w14:textFill>
            <w14:solidFill>
              <w14:schemeClr w14:val="bg1"/>
            </w14:solidFill>
          </w14:textFill>
        </w:rPr>
        <w:footnoteReference w:id="0"/>
      </w:r>
      <w:r>
        <w:rPr>
          <w:rFonts w:ascii="楷体" w:hAnsi="楷体" w:eastAsia="楷体" w:cs="仿宋_GB2312"/>
          <w:sz w:val="30"/>
          <w:szCs w:val="30"/>
        </w:rPr>
        <w:t xml:space="preserve">  </w:t>
      </w:r>
      <w:r>
        <w:rPr>
          <w:rFonts w:hint="eastAsia" w:ascii="楷体" w:hAnsi="楷体" w:eastAsia="楷体" w:cs="仿宋_GB2312"/>
          <w:sz w:val="30"/>
          <w:szCs w:val="30"/>
        </w:rPr>
        <w:t>程亮杰</w:t>
      </w:r>
      <w:r>
        <w:rPr>
          <w:rFonts w:hint="eastAsia" w:ascii="楷体" w:hAnsi="楷体" w:eastAsia="楷体" w:cs="仿宋_GB2312"/>
          <w:color w:val="CCE8CF" w:themeColor="background1"/>
          <w:sz w:val="30"/>
          <w:szCs w:val="30"/>
          <w:vertAlign w:val="superscript"/>
          <w14:textFill>
            <w14:solidFill>
              <w14:schemeClr w14:val="bg1"/>
            </w14:solidFill>
          </w14:textFill>
        </w:rPr>
        <w:t>2</w:t>
      </w:r>
    </w:p>
    <w:p>
      <w:pPr>
        <w:spacing w:line="400" w:lineRule="exact"/>
        <w:ind w:left="420" w:leftChars="200" w:right="420" w:rightChars="200" w:firstLine="482" w:firstLineChars="200"/>
        <w:rPr>
          <w:rFonts w:ascii="楷体" w:hAnsi="楷体" w:eastAsia="楷体" w:cs="仿宋_GB2312"/>
          <w:b/>
          <w:bCs/>
          <w:sz w:val="24"/>
          <w:szCs w:val="24"/>
        </w:rPr>
      </w:pPr>
    </w:p>
    <w:p>
      <w:pPr>
        <w:spacing w:line="400" w:lineRule="exact"/>
        <w:ind w:left="420" w:leftChars="200" w:right="420" w:rightChars="200" w:firstLine="482" w:firstLineChars="200"/>
        <w:rPr>
          <w:rFonts w:ascii="楷体" w:hAnsi="楷体" w:eastAsia="楷体" w:cs="方正仿宋_GB2312"/>
          <w:sz w:val="24"/>
          <w:szCs w:val="24"/>
        </w:rPr>
      </w:pPr>
      <w:bookmarkStart w:id="0" w:name="_Hlk18106032"/>
      <w:r>
        <w:rPr>
          <w:rFonts w:hint="eastAsia" w:ascii="黑体" w:hAnsi="黑体" w:eastAsia="黑体"/>
          <w:b/>
          <w:sz w:val="24"/>
        </w:rPr>
        <w:t>内容摘要</w:t>
      </w:r>
      <w:bookmarkEnd w:id="0"/>
      <w:r>
        <w:rPr>
          <w:rFonts w:hint="eastAsia" w:ascii="黑体" w:hAnsi="黑体" w:eastAsia="黑体"/>
          <w:b/>
          <w:sz w:val="24"/>
        </w:rPr>
        <w:t>：</w:t>
      </w:r>
      <w:r>
        <w:rPr>
          <w:rFonts w:hint="eastAsia" w:ascii="楷体" w:hAnsi="楷体" w:eastAsia="楷体" w:cs="仿宋_GB2312"/>
          <w:sz w:val="24"/>
          <w:szCs w:val="24"/>
        </w:rPr>
        <w:t>根据最新的新型诈骗犯罪受害的户籍、性别、年龄、职业身份、社交、网络行为等特征，</w:t>
      </w:r>
      <w:r>
        <w:rPr>
          <w:rFonts w:hint="eastAsia" w:ascii="楷体" w:hAnsi="楷体" w:eastAsia="楷体" w:cs="仿宋_GB2312"/>
          <w:sz w:val="24"/>
          <w:szCs w:val="24"/>
          <w:lang w:eastAsia="zh-Hans"/>
        </w:rPr>
        <w:t>结合移动互联网端的APP安装活跃数据、LBS行为、资金端数据，以及人口相关性别、年龄、户籍等基画像特征，</w:t>
      </w:r>
      <w:r>
        <w:rPr>
          <w:rFonts w:hint="eastAsia" w:ascii="楷体" w:hAnsi="楷体" w:eastAsia="楷体" w:cs="仿宋_GB2312"/>
          <w:sz w:val="24"/>
          <w:szCs w:val="24"/>
        </w:rPr>
        <w:t>根据</w:t>
      </w:r>
      <w:r>
        <w:rPr>
          <w:rFonts w:hint="eastAsia" w:ascii="楷体" w:hAnsi="楷体" w:eastAsia="楷体" w:cs="仿宋_GB2312"/>
          <w:sz w:val="24"/>
          <w:szCs w:val="24"/>
          <w:lang w:eastAsia="zh-Hans"/>
        </w:rPr>
        <w:t>“公安大脑”建设</w:t>
      </w:r>
      <w:r>
        <w:rPr>
          <w:rFonts w:hint="eastAsia" w:ascii="楷体" w:hAnsi="楷体" w:eastAsia="楷体" w:cs="仿宋_GB2312"/>
          <w:sz w:val="24"/>
          <w:szCs w:val="24"/>
        </w:rPr>
        <w:t>要求</w:t>
      </w:r>
      <w:r>
        <w:rPr>
          <w:rFonts w:hint="eastAsia" w:ascii="楷体" w:hAnsi="楷体" w:eastAsia="楷体" w:cs="仿宋_GB2312"/>
          <w:sz w:val="24"/>
          <w:szCs w:val="24"/>
          <w:lang w:eastAsia="zh-Hans"/>
        </w:rPr>
        <w:t>，利用机器学习模型构建</w:t>
      </w:r>
      <w:r>
        <w:rPr>
          <w:rFonts w:hint="eastAsia" w:ascii="楷体" w:hAnsi="楷体" w:eastAsia="楷体" w:cs="仿宋_GB2312"/>
          <w:sz w:val="24"/>
          <w:szCs w:val="24"/>
        </w:rPr>
        <w:t>各类</w:t>
      </w:r>
      <w:r>
        <w:rPr>
          <w:rFonts w:hint="eastAsia" w:ascii="楷体" w:hAnsi="楷体" w:eastAsia="楷体" w:cs="仿宋_GB2312"/>
          <w:sz w:val="24"/>
          <w:szCs w:val="24"/>
          <w:lang w:eastAsia="zh-Hans"/>
        </w:rPr>
        <w:t>易感模型，再结合传统层次分析法将易感模型融合赋分，得到辖区最终易感群体</w:t>
      </w:r>
      <w:r>
        <w:rPr>
          <w:rFonts w:hint="eastAsia" w:ascii="楷体" w:hAnsi="楷体" w:eastAsia="楷体" w:cs="仿宋_GB2312"/>
          <w:sz w:val="24"/>
          <w:szCs w:val="24"/>
        </w:rPr>
        <w:t>及其可能受骗类型，</w:t>
      </w:r>
      <w:r>
        <w:rPr>
          <w:rFonts w:hint="eastAsia" w:ascii="楷体" w:hAnsi="楷体" w:eastAsia="楷体" w:cs="仿宋_GB2312"/>
          <w:sz w:val="24"/>
          <w:szCs w:val="24"/>
          <w:lang w:eastAsia="zh-Hans"/>
        </w:rPr>
        <w:t>进行针对性的宣防工作，</w:t>
      </w:r>
      <w:r>
        <w:rPr>
          <w:rFonts w:hint="eastAsia" w:ascii="楷体" w:hAnsi="楷体" w:eastAsia="楷体" w:cs="仿宋_GB2312"/>
          <w:sz w:val="24"/>
          <w:szCs w:val="24"/>
        </w:rPr>
        <w:t>进一步实现防范关口前移，弥补普宣和预警劝阻工作漏洞，实现精准识别预防，</w:t>
      </w:r>
      <w:r>
        <w:rPr>
          <w:rFonts w:hint="eastAsia" w:ascii="楷体" w:hAnsi="楷体" w:eastAsia="楷体" w:cs="仿宋_GB2312"/>
          <w:sz w:val="24"/>
          <w:szCs w:val="24"/>
          <w:lang w:eastAsia="zh-Hans"/>
        </w:rPr>
        <w:t>从而降低诈骗成功率，</w:t>
      </w:r>
      <w:r>
        <w:rPr>
          <w:rFonts w:hint="eastAsia" w:ascii="楷体" w:hAnsi="楷体" w:eastAsia="楷体" w:cs="仿宋_GB2312"/>
          <w:sz w:val="24"/>
          <w:szCs w:val="24"/>
        </w:rPr>
        <w:t>减少案件发生</w:t>
      </w:r>
      <w:r>
        <w:rPr>
          <w:rFonts w:hint="eastAsia" w:ascii="楷体" w:hAnsi="楷体" w:eastAsia="楷体" w:cs="仿宋_GB2312"/>
          <w:sz w:val="24"/>
          <w:szCs w:val="24"/>
          <w:lang w:eastAsia="zh-Hans"/>
        </w:rPr>
        <w:t>。</w:t>
      </w:r>
    </w:p>
    <w:p>
      <w:pPr>
        <w:spacing w:line="400" w:lineRule="exact"/>
        <w:ind w:left="420" w:leftChars="200" w:right="420" w:rightChars="200" w:firstLine="482" w:firstLineChars="200"/>
        <w:rPr>
          <w:rFonts w:ascii="楷体" w:hAnsi="楷体" w:eastAsia="楷体" w:cs="仿宋_GB2312"/>
          <w:sz w:val="24"/>
          <w:szCs w:val="24"/>
        </w:rPr>
      </w:pPr>
      <w:bookmarkStart w:id="1" w:name="_Hlk18106044"/>
      <w:r>
        <w:rPr>
          <w:rFonts w:ascii="黑体" w:hAnsi="黑体" w:eastAsia="黑体"/>
          <w:b/>
          <w:bCs/>
          <w:sz w:val="24"/>
        </w:rPr>
        <w:t>关键词</w:t>
      </w:r>
      <w:bookmarkEnd w:id="1"/>
      <w:r>
        <w:rPr>
          <w:rFonts w:hint="eastAsia" w:ascii="黑体" w:hAnsi="黑体" w:eastAsia="黑体"/>
          <w:b/>
          <w:bCs/>
          <w:sz w:val="24"/>
        </w:rPr>
        <w:t>：</w:t>
      </w:r>
      <w:r>
        <w:rPr>
          <w:rFonts w:hint="eastAsia" w:ascii="楷体" w:hAnsi="楷体" w:eastAsia="楷体" w:cs="仿宋_GB2312"/>
          <w:sz w:val="24"/>
          <w:szCs w:val="24"/>
        </w:rPr>
        <w:t xml:space="preserve">数字反诈 </w:t>
      </w:r>
      <w:r>
        <w:rPr>
          <w:rFonts w:ascii="楷体" w:hAnsi="楷体" w:eastAsia="楷体" w:cs="仿宋_GB2312"/>
          <w:sz w:val="24"/>
          <w:szCs w:val="24"/>
        </w:rPr>
        <w:t xml:space="preserve"> </w:t>
      </w:r>
      <w:r>
        <w:rPr>
          <w:rFonts w:hint="eastAsia" w:ascii="楷体" w:hAnsi="楷体" w:eastAsia="楷体" w:cs="仿宋_GB2312"/>
          <w:sz w:val="24"/>
          <w:szCs w:val="24"/>
        </w:rPr>
        <w:t xml:space="preserve">反诈宣防 </w:t>
      </w:r>
      <w:r>
        <w:rPr>
          <w:rFonts w:ascii="楷体" w:hAnsi="楷体" w:eastAsia="楷体" w:cs="仿宋_GB2312"/>
          <w:sz w:val="24"/>
          <w:szCs w:val="24"/>
        </w:rPr>
        <w:t xml:space="preserve"> </w:t>
      </w:r>
      <w:r>
        <w:rPr>
          <w:rFonts w:hint="eastAsia" w:ascii="楷体" w:hAnsi="楷体" w:eastAsia="楷体" w:cs="仿宋_GB2312"/>
          <w:sz w:val="24"/>
          <w:szCs w:val="24"/>
        </w:rPr>
        <w:t xml:space="preserve">预测预警 </w:t>
      </w:r>
      <w:r>
        <w:rPr>
          <w:rFonts w:ascii="楷体" w:hAnsi="楷体" w:eastAsia="楷体" w:cs="仿宋_GB2312"/>
          <w:sz w:val="24"/>
          <w:szCs w:val="24"/>
        </w:rPr>
        <w:t xml:space="preserve"> </w:t>
      </w:r>
      <w:r>
        <w:rPr>
          <w:rFonts w:hint="eastAsia" w:ascii="楷体" w:hAnsi="楷体" w:eastAsia="楷体" w:cs="仿宋_GB2312"/>
          <w:sz w:val="24"/>
          <w:szCs w:val="24"/>
        </w:rPr>
        <w:t xml:space="preserve">多跨协同 </w:t>
      </w:r>
      <w:r>
        <w:rPr>
          <w:rFonts w:ascii="楷体" w:hAnsi="楷体" w:eastAsia="楷体" w:cs="仿宋_GB2312"/>
          <w:sz w:val="24"/>
          <w:szCs w:val="24"/>
        </w:rPr>
        <w:t xml:space="preserve"> </w:t>
      </w:r>
      <w:r>
        <w:rPr>
          <w:rFonts w:hint="eastAsia" w:ascii="楷体" w:hAnsi="楷体" w:eastAsia="楷体" w:cs="仿宋_GB2312"/>
          <w:sz w:val="24"/>
          <w:szCs w:val="24"/>
        </w:rPr>
        <w:t>精准防控</w:t>
      </w:r>
    </w:p>
    <w:p>
      <w:pPr>
        <w:pStyle w:val="2"/>
        <w:rPr>
          <w:rFonts w:hint="eastAsia"/>
        </w:rPr>
      </w:pPr>
    </w:p>
    <w:p>
      <w:pPr>
        <w:spacing w:line="400" w:lineRule="exact"/>
        <w:ind w:firstLine="480" w:firstLineChars="200"/>
        <w:rPr>
          <w:rFonts w:ascii="宋体" w:hAnsi="宋体" w:cs="仿宋_GB2312"/>
          <w:sz w:val="24"/>
          <w:szCs w:val="24"/>
        </w:rPr>
      </w:pPr>
      <w:r>
        <w:rPr>
          <w:rFonts w:hint="eastAsia" w:ascii="宋体" w:hAnsi="宋体" w:cs="仿宋_GB2312"/>
          <w:sz w:val="24"/>
          <w:szCs w:val="24"/>
        </w:rPr>
        <w:t>当前，电信网络诈骗犯罪已成为主流犯罪，因其种类多、手段变化快，导致案件持续高发多发，严重侵害人民群众财产利益，是人民群众反映最为强烈，最为急难愁盼的问题。此类犯罪引起了中央及社会各界高度关注，各地采取多种形式开展宣传防范工作，对压降发案起到了显著作用。但实际工作中，因为宣传群体庞大，基层力量不足，宣传方式方法单一，宣传工作精准性不强，宣传成效与预期存在一定差距。宁波市公安局通过对被害人跟踪分析，梳理被害人基本特征，结合互联网大数据对被害人异常行为特征进行总结，建立异常特征识别模型，探索新型诈骗易感人群发现、分类、策略、宣防等工作机制，提升事前预测预警能力，指导各地开展精准宣传，减少案件发生。同时结合政府数字化改革，逐步厘清各地、各部门之间宣防责任，将反诈宣传工作贯穿至基层街道、社区，推动形成工作闭环，实现工作进度实时展现、成效及时评估。</w:t>
      </w:r>
    </w:p>
    <w:p>
      <w:pPr>
        <w:spacing w:before="93" w:beforeLines="30" w:after="93" w:afterLines="30" w:line="400" w:lineRule="exact"/>
        <w:ind w:firstLine="560" w:firstLineChars="200"/>
        <w:rPr>
          <w:rFonts w:ascii="黑体" w:hAnsi="黑体" w:eastAsia="黑体" w:cs="黑体"/>
          <w:sz w:val="28"/>
          <w:szCs w:val="28"/>
        </w:rPr>
      </w:pPr>
      <w:r>
        <w:rPr>
          <w:rFonts w:hint="eastAsia" w:ascii="黑体" w:hAnsi="黑体" w:eastAsia="黑体" w:cs="黑体"/>
          <w:sz w:val="28"/>
          <w:szCs w:val="28"/>
        </w:rPr>
        <w:t>一、发案形势及被害人特征</w:t>
      </w:r>
    </w:p>
    <w:p>
      <w:pPr>
        <w:spacing w:line="400" w:lineRule="exact"/>
        <w:ind w:firstLine="480" w:firstLineChars="200"/>
        <w:rPr>
          <w:rFonts w:ascii="宋体" w:hAnsi="宋体" w:cs="仿宋_GB2312"/>
          <w:sz w:val="24"/>
          <w:szCs w:val="24"/>
        </w:rPr>
      </w:pPr>
      <w:r>
        <w:rPr>
          <w:rFonts w:hint="eastAsia" w:ascii="宋体" w:hAnsi="宋体" w:cs="仿宋_GB2312"/>
          <w:sz w:val="24"/>
          <w:szCs w:val="24"/>
        </w:rPr>
        <w:t>2018年以来，电信网络诈骗案件快速上升，特别是2021年初，案件呈爆发式增长，虽从4月开始发案得到了一定遏制，但仍处于高位运行。2022年，宁波经历了多场疫情，叠加整体社会经济形势下滑等因素，基层工作重心偏向疫情防控和发展经济工作，明显可以看到从2022年3月开始，发案又开始抬头，如不有力控制，极有可能出现快速增长的情况。</w:t>
      </w:r>
    </w:p>
    <w:p>
      <w:pPr>
        <w:pStyle w:val="2"/>
        <w:adjustRightInd w:val="0"/>
        <w:snapToGrid w:val="0"/>
        <w:jc w:val="center"/>
        <w:rPr>
          <w:rFonts w:cs="仿宋_GB2312"/>
          <w:szCs w:val="24"/>
        </w:rPr>
      </w:pPr>
      <w:r>
        <w:drawing>
          <wp:inline distT="0" distB="0" distL="114300" distR="114300">
            <wp:extent cx="3543300" cy="2372995"/>
            <wp:effectExtent l="0" t="0" r="0" b="8255"/>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7"/>
                    <a:stretch>
                      <a:fillRect/>
                    </a:stretch>
                  </pic:blipFill>
                  <pic:spPr>
                    <a:xfrm>
                      <a:off x="0" y="0"/>
                      <a:ext cx="3548761" cy="2377268"/>
                    </a:xfrm>
                    <a:prstGeom prst="rect">
                      <a:avLst/>
                    </a:prstGeom>
                  </pic:spPr>
                </pic:pic>
              </a:graphicData>
            </a:graphic>
          </wp:inline>
        </w:drawing>
      </w:r>
    </w:p>
    <w:p>
      <w:pPr>
        <w:pStyle w:val="2"/>
        <w:adjustRightInd w:val="0"/>
        <w:snapToGrid w:val="0"/>
        <w:jc w:val="center"/>
      </w:pPr>
      <w:r>
        <w:rPr>
          <w:rFonts w:hint="eastAsia" w:cs="仿宋_GB2312"/>
          <w:szCs w:val="24"/>
        </w:rPr>
        <w:t>图1 宁波市2018-2021年发案图</w:t>
      </w:r>
    </w:p>
    <w:p>
      <w:pPr>
        <w:pStyle w:val="2"/>
        <w:adjustRightInd w:val="0"/>
        <w:snapToGrid w:val="0"/>
        <w:jc w:val="center"/>
      </w:pPr>
      <w:r>
        <w:drawing>
          <wp:inline distT="0" distB="0" distL="114300" distR="114300">
            <wp:extent cx="3714750" cy="2361565"/>
            <wp:effectExtent l="0" t="0" r="0" b="635"/>
            <wp:docPr id="13" name="图片 1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5"/>
                    <pic:cNvPicPr>
                      <a:picLocks noChangeAspect="1"/>
                    </pic:cNvPicPr>
                  </pic:nvPicPr>
                  <pic:blipFill>
                    <a:blip r:embed="rId8"/>
                    <a:stretch>
                      <a:fillRect/>
                    </a:stretch>
                  </pic:blipFill>
                  <pic:spPr>
                    <a:xfrm>
                      <a:off x="0" y="0"/>
                      <a:ext cx="3762223" cy="2391800"/>
                    </a:xfrm>
                    <a:prstGeom prst="rect">
                      <a:avLst/>
                    </a:prstGeom>
                  </pic:spPr>
                </pic:pic>
              </a:graphicData>
            </a:graphic>
          </wp:inline>
        </w:drawing>
      </w:r>
    </w:p>
    <w:p>
      <w:pPr>
        <w:pStyle w:val="2"/>
        <w:adjustRightInd w:val="0"/>
        <w:snapToGrid w:val="0"/>
        <w:jc w:val="center"/>
        <w:rPr>
          <w:rFonts w:cs="仿宋_GB2312"/>
          <w:szCs w:val="24"/>
        </w:rPr>
      </w:pPr>
      <w:r>
        <w:rPr>
          <w:rFonts w:hint="eastAsia" w:cs="仿宋_GB2312"/>
          <w:szCs w:val="24"/>
        </w:rPr>
        <w:t>图 2宁波市2021、2022年单月发案图</w:t>
      </w:r>
    </w:p>
    <w:p>
      <w:pPr>
        <w:spacing w:line="400" w:lineRule="exact"/>
        <w:ind w:firstLine="480" w:firstLineChars="200"/>
        <w:rPr>
          <w:rFonts w:ascii="宋体" w:hAnsi="宋体" w:cs="仿宋_GB2312"/>
          <w:sz w:val="24"/>
          <w:szCs w:val="24"/>
        </w:rPr>
      </w:pPr>
      <w:r>
        <w:rPr>
          <w:rFonts w:hint="eastAsia" w:ascii="宋体" w:hAnsi="宋体" w:cs="仿宋_GB2312"/>
          <w:sz w:val="24"/>
          <w:szCs w:val="24"/>
        </w:rPr>
        <w:t>通过对近年来受害人的跟踪分析，发现受害人户籍、性别、年龄、文化程度、职业以及网络行为，在不同类案上存在较为明显的差异。我们以2021年7月至2022年5月的受害人为例，统计结果如下：</w:t>
      </w:r>
    </w:p>
    <w:p>
      <w:pPr>
        <w:spacing w:line="400" w:lineRule="exact"/>
        <w:ind w:firstLine="480" w:firstLineChars="200"/>
        <w:rPr>
          <w:rFonts w:ascii="宋体" w:hAnsi="宋体" w:cs="仿宋_GB2312"/>
          <w:sz w:val="24"/>
          <w:szCs w:val="24"/>
        </w:rPr>
      </w:pPr>
      <w:r>
        <w:rPr>
          <w:rFonts w:hint="eastAsia" w:ascii="宋体" w:hAnsi="宋体" w:cs="仿宋_GB2312"/>
          <w:bCs/>
          <w:sz w:val="24"/>
          <w:szCs w:val="24"/>
        </w:rPr>
        <w:t>从户籍来看</w:t>
      </w:r>
      <w:r>
        <w:rPr>
          <w:rFonts w:hint="eastAsia" w:ascii="宋体" w:hAnsi="宋体" w:cs="仿宋_GB2312"/>
          <w:sz w:val="24"/>
          <w:szCs w:val="24"/>
        </w:rPr>
        <w:t>，宁波户籍人员占32.9%，外地户籍人员占67.1%。外地户籍人员在各高发类案中的</w:t>
      </w:r>
      <w:r>
        <w:rPr>
          <w:rFonts w:hint="eastAsia" w:ascii="宋体" w:hAnsi="宋体" w:cs="仿宋_GB2312"/>
          <w:b/>
          <w:bCs/>
          <w:sz w:val="24"/>
          <w:szCs w:val="24"/>
        </w:rPr>
        <w:t>占比均超过半数</w:t>
      </w:r>
      <w:r>
        <w:rPr>
          <w:rFonts w:hint="eastAsia" w:ascii="宋体" w:hAnsi="宋体" w:cs="仿宋_GB2312"/>
          <w:sz w:val="24"/>
          <w:szCs w:val="24"/>
        </w:rPr>
        <w:t>，尤其是贷款、刷单、交友、冒充客服、冒充公检法中的外地户籍人员占比较高。</w:t>
      </w:r>
    </w:p>
    <w:p>
      <w:pPr>
        <w:spacing w:line="400" w:lineRule="exact"/>
        <w:ind w:firstLine="480" w:firstLineChars="200"/>
        <w:rPr>
          <w:rFonts w:ascii="宋体" w:hAnsi="宋体" w:cs="仿宋_GB2312"/>
          <w:sz w:val="24"/>
          <w:szCs w:val="24"/>
        </w:rPr>
      </w:pPr>
      <w:r>
        <w:rPr>
          <w:rFonts w:hint="eastAsia" w:ascii="宋体" w:hAnsi="宋体" w:cs="仿宋_GB2312"/>
          <w:bCs/>
          <w:sz w:val="24"/>
          <w:szCs w:val="24"/>
        </w:rPr>
        <w:t>从性别来看，</w:t>
      </w:r>
      <w:r>
        <w:rPr>
          <w:rFonts w:hint="eastAsia" w:ascii="宋体" w:hAnsi="宋体" w:cs="仿宋_GB2312"/>
          <w:sz w:val="24"/>
          <w:szCs w:val="24"/>
        </w:rPr>
        <w:t>男性占55.67%，女性占44.33%，男性多于女性。从高发类案来看，冒充公检法、冒充亲友、冒充客服、购物中的女性受害人占比较高；贷款、游戏交易、交友中的男性受害人占比较高。同时2022年3月开始，男性受骗占比开始上升，改变了以往女性受害人超过半数的情况。</w:t>
      </w:r>
    </w:p>
    <w:p>
      <w:pPr>
        <w:pStyle w:val="2"/>
        <w:spacing w:line="400" w:lineRule="exact"/>
        <w:ind w:firstLine="480" w:firstLineChars="200"/>
        <w:jc w:val="both"/>
        <w:rPr>
          <w:rFonts w:cs="仿宋_GB2312"/>
          <w:kern w:val="2"/>
          <w:szCs w:val="24"/>
        </w:rPr>
      </w:pPr>
      <w:r>
        <w:rPr>
          <w:rFonts w:hint="eastAsia" w:cs="仿宋_GB2312"/>
          <w:bCs/>
          <w:kern w:val="2"/>
          <w:szCs w:val="24"/>
        </w:rPr>
        <w:t>从年龄来看，</w:t>
      </w:r>
      <w:r>
        <w:rPr>
          <w:rFonts w:hint="eastAsia" w:cs="仿宋_GB2312"/>
          <w:kern w:val="2"/>
          <w:szCs w:val="24"/>
        </w:rPr>
        <w:t>17岁以下占比6%；17-25岁占比18%；25-35岁占比31%；35-45岁占比36%；45-60岁占比9%；60岁以上占比1%。由此发现17至45岁的人群占大多数，尤其是25至40岁为主要受害群体，占总人数的86.97%，特别在高发类案中，该年龄段在刷单、贷款、冒充客服、交友中占比更高。与很多人早先认为电信网络诈骗受害群体主要为中老年人的认知大相径庭。</w:t>
      </w:r>
    </w:p>
    <w:p>
      <w:pPr>
        <w:adjustRightInd w:val="0"/>
        <w:snapToGrid w:val="0"/>
        <w:jc w:val="center"/>
      </w:pPr>
      <w:r>
        <w:drawing>
          <wp:inline distT="0" distB="0" distL="114300" distR="114300">
            <wp:extent cx="4686300" cy="2010410"/>
            <wp:effectExtent l="0" t="0" r="0" b="889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4721531" cy="2025708"/>
                    </a:xfrm>
                    <a:prstGeom prst="rect">
                      <a:avLst/>
                    </a:prstGeom>
                    <a:noFill/>
                    <a:ln>
                      <a:noFill/>
                    </a:ln>
                  </pic:spPr>
                </pic:pic>
              </a:graphicData>
            </a:graphic>
          </wp:inline>
        </w:drawing>
      </w:r>
    </w:p>
    <w:p>
      <w:pPr>
        <w:pStyle w:val="2"/>
        <w:adjustRightInd w:val="0"/>
        <w:snapToGrid w:val="0"/>
        <w:spacing w:line="400" w:lineRule="exact"/>
        <w:jc w:val="center"/>
        <w:rPr>
          <w:rFonts w:cs="仿宋_GB2312"/>
          <w:szCs w:val="24"/>
        </w:rPr>
      </w:pPr>
      <w:r>
        <w:rPr>
          <w:rFonts w:hint="eastAsia" w:cs="仿宋_GB2312"/>
          <w:szCs w:val="24"/>
        </w:rPr>
        <w:t>图3 按年龄分布图</w:t>
      </w:r>
    </w:p>
    <w:p>
      <w:pPr>
        <w:spacing w:line="400" w:lineRule="exact"/>
        <w:ind w:firstLine="480" w:firstLineChars="200"/>
        <w:rPr>
          <w:rFonts w:ascii="宋体" w:hAnsi="宋体" w:cs="仿宋_GB2312"/>
          <w:sz w:val="24"/>
          <w:szCs w:val="24"/>
        </w:rPr>
      </w:pPr>
      <w:r>
        <w:rPr>
          <w:rFonts w:hint="eastAsia" w:ascii="宋体" w:hAnsi="宋体" w:cs="仿宋_GB2312"/>
          <w:bCs/>
          <w:sz w:val="24"/>
          <w:szCs w:val="24"/>
        </w:rPr>
        <w:t>从职业身份来看，</w:t>
      </w:r>
      <w:r>
        <w:rPr>
          <w:rFonts w:ascii="宋体" w:hAnsi="宋体" w:cs="仿宋_GB2312"/>
          <w:sz w:val="24"/>
          <w:szCs w:val="24"/>
        </w:rPr>
        <w:t>企业务工人员占54.64%；机关单位工作人员占0.78%；教师占0.75%，学生占4.98%；医院人员占1.07%；无固定职业（无社保信息）的人员占35.81%。由此发现的低收入人群在受害人群占较大比例。</w:t>
      </w:r>
    </w:p>
    <w:p>
      <w:pPr>
        <w:pStyle w:val="2"/>
        <w:adjustRightInd w:val="0"/>
        <w:snapToGrid w:val="0"/>
        <w:spacing w:line="400" w:lineRule="exact"/>
        <w:jc w:val="center"/>
        <w:rPr>
          <w:rFonts w:cs="仿宋_GB2312"/>
          <w:szCs w:val="24"/>
        </w:rPr>
      </w:pPr>
      <w:r>
        <w:rPr>
          <w:rFonts w:hint="eastAsia" w:cs="仿宋_GB2312"/>
          <w:szCs w:val="24"/>
        </w:rPr>
        <w:t>表1 新型诈骗职业分布</w:t>
      </w:r>
    </w:p>
    <w:tbl>
      <w:tblPr>
        <w:tblStyle w:val="13"/>
        <w:tblpPr w:leftFromText="180" w:rightFromText="180" w:vertAnchor="text" w:horzAnchor="page" w:tblpXSpec="center" w:tblpY="40"/>
        <w:tblOverlap w:val="never"/>
        <w:tblW w:w="0" w:type="auto"/>
        <w:tblInd w:w="0" w:type="dxa"/>
        <w:tblLayout w:type="fixed"/>
        <w:tblCellMar>
          <w:top w:w="0" w:type="dxa"/>
          <w:left w:w="0" w:type="dxa"/>
          <w:bottom w:w="0" w:type="dxa"/>
          <w:right w:w="0" w:type="dxa"/>
        </w:tblCellMar>
      </w:tblPr>
      <w:tblGrid>
        <w:gridCol w:w="1502"/>
        <w:gridCol w:w="1755"/>
        <w:gridCol w:w="1695"/>
        <w:gridCol w:w="1575"/>
        <w:gridCol w:w="1710"/>
      </w:tblGrid>
      <w:tr>
        <w:tblPrEx>
          <w:tblCellMar>
            <w:top w:w="0" w:type="dxa"/>
            <w:left w:w="0" w:type="dxa"/>
            <w:bottom w:w="0" w:type="dxa"/>
            <w:right w:w="0" w:type="dxa"/>
          </w:tblCellMar>
        </w:tblPrEx>
        <w:trPr>
          <w:trHeight w:val="427" w:hRule="atLeast"/>
        </w:trPr>
        <w:tc>
          <w:tcPr>
            <w:tcW w:w="1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
                <w:bCs/>
                <w:sz w:val="24"/>
                <w:szCs w:val="24"/>
              </w:rPr>
            </w:pPr>
            <w:r>
              <w:rPr>
                <w:rFonts w:hint="eastAsia" w:ascii="宋体" w:hAnsi="宋体" w:cs="仿宋_GB2312"/>
                <w:b/>
                <w:bCs/>
                <w:kern w:val="0"/>
                <w:sz w:val="24"/>
                <w:szCs w:val="24"/>
                <w:lang w:bidi="ar"/>
              </w:rPr>
              <w:t>高发类案</w:t>
            </w:r>
          </w:p>
        </w:tc>
        <w:tc>
          <w:tcPr>
            <w:tcW w:w="17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
                <w:bCs/>
                <w:sz w:val="24"/>
                <w:szCs w:val="24"/>
              </w:rPr>
            </w:pPr>
            <w:r>
              <w:rPr>
                <w:rFonts w:hint="eastAsia" w:ascii="宋体" w:hAnsi="宋体" w:cs="仿宋_GB2312"/>
                <w:b/>
                <w:bCs/>
                <w:kern w:val="0"/>
                <w:sz w:val="24"/>
                <w:szCs w:val="24"/>
                <w:lang w:bidi="ar"/>
              </w:rPr>
              <w:t>外地户籍占比</w:t>
            </w:r>
          </w:p>
        </w:tc>
        <w:tc>
          <w:tcPr>
            <w:tcW w:w="16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
                <w:bCs/>
                <w:sz w:val="24"/>
                <w:szCs w:val="24"/>
              </w:rPr>
            </w:pPr>
            <w:r>
              <w:rPr>
                <w:rFonts w:hint="eastAsia" w:ascii="宋体" w:hAnsi="宋体" w:cs="仿宋_GB2312"/>
                <w:b/>
                <w:bCs/>
                <w:kern w:val="0"/>
                <w:sz w:val="24"/>
                <w:szCs w:val="24"/>
                <w:lang w:bidi="ar"/>
              </w:rPr>
              <w:t>性别占比</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
                <w:bCs/>
                <w:sz w:val="24"/>
                <w:szCs w:val="24"/>
              </w:rPr>
            </w:pPr>
            <w:r>
              <w:rPr>
                <w:rFonts w:hint="eastAsia" w:ascii="宋体" w:hAnsi="宋体" w:cs="仿宋_GB2312"/>
                <w:b/>
                <w:bCs/>
                <w:kern w:val="0"/>
                <w:sz w:val="24"/>
                <w:szCs w:val="24"/>
                <w:lang w:bidi="ar"/>
              </w:rPr>
              <w:t>20-40</w:t>
            </w:r>
            <w:r>
              <w:rPr>
                <w:rStyle w:val="20"/>
                <w:rFonts w:hint="default" w:cs="仿宋_GB2312"/>
                <w:b/>
                <w:bCs/>
                <w:color w:val="auto"/>
                <w:lang w:bidi="ar"/>
              </w:rPr>
              <w:t>岁占比</w:t>
            </w:r>
          </w:p>
        </w:tc>
        <w:tc>
          <w:tcPr>
            <w:tcW w:w="1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
                <w:bCs/>
                <w:kern w:val="0"/>
                <w:sz w:val="24"/>
                <w:szCs w:val="24"/>
                <w:lang w:bidi="ar"/>
              </w:rPr>
            </w:pPr>
            <w:r>
              <w:rPr>
                <w:rFonts w:hint="eastAsia" w:ascii="宋体" w:hAnsi="宋体" w:cs="仿宋_GB2312"/>
                <w:b/>
                <w:bCs/>
                <w:kern w:val="0"/>
                <w:sz w:val="24"/>
                <w:szCs w:val="24"/>
                <w:lang w:bidi="ar"/>
              </w:rPr>
              <w:t>高中及以</w:t>
            </w:r>
          </w:p>
          <w:p>
            <w:pPr>
              <w:widowControl/>
              <w:adjustRightInd w:val="0"/>
              <w:snapToGrid w:val="0"/>
              <w:jc w:val="center"/>
              <w:textAlignment w:val="center"/>
              <w:rPr>
                <w:rFonts w:ascii="宋体" w:hAnsi="宋体" w:cs="仿宋_GB2312"/>
                <w:b/>
                <w:bCs/>
                <w:sz w:val="24"/>
                <w:szCs w:val="24"/>
              </w:rPr>
            </w:pPr>
            <w:r>
              <w:rPr>
                <w:rFonts w:hint="eastAsia" w:ascii="宋体" w:hAnsi="宋体" w:cs="仿宋_GB2312"/>
                <w:b/>
                <w:bCs/>
                <w:kern w:val="0"/>
                <w:sz w:val="24"/>
                <w:szCs w:val="24"/>
                <w:lang w:bidi="ar"/>
              </w:rPr>
              <w:t>下学历占比</w:t>
            </w:r>
          </w:p>
        </w:tc>
      </w:tr>
      <w:tr>
        <w:tblPrEx>
          <w:tblCellMar>
            <w:top w:w="0" w:type="dxa"/>
            <w:left w:w="0" w:type="dxa"/>
            <w:bottom w:w="0" w:type="dxa"/>
            <w:right w:w="0" w:type="dxa"/>
          </w:tblCellMar>
        </w:tblPrEx>
        <w:trPr>
          <w:trHeight w:val="300" w:hRule="atLeast"/>
        </w:trPr>
        <w:tc>
          <w:tcPr>
            <w:tcW w:w="1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刷单诈骗</w:t>
            </w:r>
          </w:p>
        </w:tc>
        <w:tc>
          <w:tcPr>
            <w:tcW w:w="17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69.06%</w:t>
            </w:r>
          </w:p>
        </w:tc>
        <w:tc>
          <w:tcPr>
            <w:tcW w:w="16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男性52.21%</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93.37%</w:t>
            </w:r>
          </w:p>
        </w:tc>
        <w:tc>
          <w:tcPr>
            <w:tcW w:w="1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65.75%</w:t>
            </w:r>
          </w:p>
        </w:tc>
      </w:tr>
      <w:tr>
        <w:tblPrEx>
          <w:tblCellMar>
            <w:top w:w="0" w:type="dxa"/>
            <w:left w:w="0" w:type="dxa"/>
            <w:bottom w:w="0" w:type="dxa"/>
            <w:right w:w="0" w:type="dxa"/>
          </w:tblCellMar>
        </w:tblPrEx>
        <w:trPr>
          <w:trHeight w:val="300" w:hRule="atLeast"/>
        </w:trPr>
        <w:tc>
          <w:tcPr>
            <w:tcW w:w="1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冒充客服</w:t>
            </w:r>
          </w:p>
        </w:tc>
        <w:tc>
          <w:tcPr>
            <w:tcW w:w="17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65.89%</w:t>
            </w:r>
          </w:p>
        </w:tc>
        <w:tc>
          <w:tcPr>
            <w:tcW w:w="16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女性62.02%</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90.70%</w:t>
            </w:r>
          </w:p>
        </w:tc>
        <w:tc>
          <w:tcPr>
            <w:tcW w:w="1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69.77%</w:t>
            </w:r>
          </w:p>
        </w:tc>
      </w:tr>
      <w:tr>
        <w:tblPrEx>
          <w:tblCellMar>
            <w:top w:w="0" w:type="dxa"/>
            <w:left w:w="0" w:type="dxa"/>
            <w:bottom w:w="0" w:type="dxa"/>
            <w:right w:w="0" w:type="dxa"/>
          </w:tblCellMar>
        </w:tblPrEx>
        <w:trPr>
          <w:trHeight w:val="300" w:hRule="atLeast"/>
        </w:trPr>
        <w:tc>
          <w:tcPr>
            <w:tcW w:w="1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投资诈骗</w:t>
            </w:r>
          </w:p>
        </w:tc>
        <w:tc>
          <w:tcPr>
            <w:tcW w:w="17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59.05%</w:t>
            </w:r>
          </w:p>
        </w:tc>
        <w:tc>
          <w:tcPr>
            <w:tcW w:w="16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男性65.71%</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82.86%</w:t>
            </w:r>
          </w:p>
        </w:tc>
        <w:tc>
          <w:tcPr>
            <w:tcW w:w="1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57.14%</w:t>
            </w:r>
          </w:p>
        </w:tc>
      </w:tr>
      <w:tr>
        <w:tblPrEx>
          <w:tblCellMar>
            <w:top w:w="0" w:type="dxa"/>
            <w:left w:w="0" w:type="dxa"/>
            <w:bottom w:w="0" w:type="dxa"/>
            <w:right w:w="0" w:type="dxa"/>
          </w:tblCellMar>
        </w:tblPrEx>
        <w:trPr>
          <w:trHeight w:val="300" w:hRule="atLeast"/>
        </w:trPr>
        <w:tc>
          <w:tcPr>
            <w:tcW w:w="1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贷款诈骗</w:t>
            </w:r>
          </w:p>
        </w:tc>
        <w:tc>
          <w:tcPr>
            <w:tcW w:w="17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76.83%</w:t>
            </w:r>
          </w:p>
        </w:tc>
        <w:tc>
          <w:tcPr>
            <w:tcW w:w="16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男性79.27%</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92.68%</w:t>
            </w:r>
          </w:p>
        </w:tc>
        <w:tc>
          <w:tcPr>
            <w:tcW w:w="1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80.49%</w:t>
            </w:r>
          </w:p>
        </w:tc>
      </w:tr>
      <w:tr>
        <w:tblPrEx>
          <w:tblCellMar>
            <w:top w:w="0" w:type="dxa"/>
            <w:left w:w="0" w:type="dxa"/>
            <w:bottom w:w="0" w:type="dxa"/>
            <w:right w:w="0" w:type="dxa"/>
          </w:tblCellMar>
        </w:tblPrEx>
        <w:trPr>
          <w:trHeight w:val="300" w:hRule="atLeast"/>
        </w:trPr>
        <w:tc>
          <w:tcPr>
            <w:tcW w:w="1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购物诈骗</w:t>
            </w:r>
          </w:p>
        </w:tc>
        <w:tc>
          <w:tcPr>
            <w:tcW w:w="17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56.44%</w:t>
            </w:r>
          </w:p>
        </w:tc>
        <w:tc>
          <w:tcPr>
            <w:tcW w:w="16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女性54.46%</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74.26%</w:t>
            </w:r>
          </w:p>
        </w:tc>
        <w:tc>
          <w:tcPr>
            <w:tcW w:w="1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68.32%</w:t>
            </w:r>
          </w:p>
        </w:tc>
      </w:tr>
      <w:tr>
        <w:tblPrEx>
          <w:tblCellMar>
            <w:top w:w="0" w:type="dxa"/>
            <w:left w:w="0" w:type="dxa"/>
            <w:bottom w:w="0" w:type="dxa"/>
            <w:right w:w="0" w:type="dxa"/>
          </w:tblCellMar>
        </w:tblPrEx>
        <w:trPr>
          <w:trHeight w:val="397" w:hRule="atLeast"/>
        </w:trPr>
        <w:tc>
          <w:tcPr>
            <w:tcW w:w="1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游戏交易</w:t>
            </w:r>
          </w:p>
        </w:tc>
        <w:tc>
          <w:tcPr>
            <w:tcW w:w="17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56.90%</w:t>
            </w:r>
          </w:p>
        </w:tc>
        <w:tc>
          <w:tcPr>
            <w:tcW w:w="16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男性77.59%</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63.79%</w:t>
            </w:r>
          </w:p>
        </w:tc>
        <w:tc>
          <w:tcPr>
            <w:tcW w:w="1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70.69%</w:t>
            </w:r>
          </w:p>
        </w:tc>
      </w:tr>
      <w:tr>
        <w:tblPrEx>
          <w:tblCellMar>
            <w:top w:w="0" w:type="dxa"/>
            <w:left w:w="0" w:type="dxa"/>
            <w:bottom w:w="0" w:type="dxa"/>
            <w:right w:w="0" w:type="dxa"/>
          </w:tblCellMar>
        </w:tblPrEx>
        <w:trPr>
          <w:trHeight w:val="300" w:hRule="atLeast"/>
        </w:trPr>
        <w:tc>
          <w:tcPr>
            <w:tcW w:w="1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交友诈骗</w:t>
            </w:r>
          </w:p>
        </w:tc>
        <w:tc>
          <w:tcPr>
            <w:tcW w:w="17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66.67%</w:t>
            </w:r>
          </w:p>
        </w:tc>
        <w:tc>
          <w:tcPr>
            <w:tcW w:w="16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男性69.57%</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90.58%</w:t>
            </w:r>
          </w:p>
        </w:tc>
        <w:tc>
          <w:tcPr>
            <w:tcW w:w="1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68.84%</w:t>
            </w:r>
          </w:p>
        </w:tc>
      </w:tr>
      <w:tr>
        <w:tblPrEx>
          <w:tblCellMar>
            <w:top w:w="0" w:type="dxa"/>
            <w:left w:w="0" w:type="dxa"/>
            <w:bottom w:w="0" w:type="dxa"/>
            <w:right w:w="0" w:type="dxa"/>
          </w:tblCellMar>
        </w:tblPrEx>
        <w:trPr>
          <w:trHeight w:val="300" w:hRule="atLeast"/>
        </w:trPr>
        <w:tc>
          <w:tcPr>
            <w:tcW w:w="1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冒充亲友</w:t>
            </w:r>
          </w:p>
        </w:tc>
        <w:tc>
          <w:tcPr>
            <w:tcW w:w="17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52.63%</w:t>
            </w:r>
          </w:p>
        </w:tc>
        <w:tc>
          <w:tcPr>
            <w:tcW w:w="16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女性60.53%</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68.42%</w:t>
            </w:r>
          </w:p>
        </w:tc>
        <w:tc>
          <w:tcPr>
            <w:tcW w:w="1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63.16%</w:t>
            </w:r>
          </w:p>
        </w:tc>
      </w:tr>
      <w:tr>
        <w:tblPrEx>
          <w:tblCellMar>
            <w:top w:w="0" w:type="dxa"/>
            <w:left w:w="0" w:type="dxa"/>
            <w:bottom w:w="0" w:type="dxa"/>
            <w:right w:w="0" w:type="dxa"/>
          </w:tblCellMar>
        </w:tblPrEx>
        <w:trPr>
          <w:trHeight w:val="300" w:hRule="atLeast"/>
        </w:trPr>
        <w:tc>
          <w:tcPr>
            <w:tcW w:w="1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冒充公检法</w:t>
            </w:r>
          </w:p>
        </w:tc>
        <w:tc>
          <w:tcPr>
            <w:tcW w:w="17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62.96%</w:t>
            </w:r>
          </w:p>
        </w:tc>
        <w:tc>
          <w:tcPr>
            <w:tcW w:w="16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女性62.96%</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87.04%</w:t>
            </w:r>
          </w:p>
        </w:tc>
        <w:tc>
          <w:tcPr>
            <w:tcW w:w="1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sz w:val="24"/>
                <w:szCs w:val="24"/>
              </w:rPr>
            </w:pPr>
            <w:r>
              <w:rPr>
                <w:rFonts w:hint="eastAsia" w:ascii="宋体" w:hAnsi="宋体" w:cs="仿宋_GB2312"/>
                <w:bCs/>
                <w:kern w:val="0"/>
                <w:sz w:val="24"/>
                <w:szCs w:val="24"/>
                <w:lang w:bidi="ar"/>
              </w:rPr>
              <w:t>48.15%</w:t>
            </w:r>
          </w:p>
        </w:tc>
      </w:tr>
      <w:tr>
        <w:tblPrEx>
          <w:tblCellMar>
            <w:top w:w="0" w:type="dxa"/>
            <w:left w:w="0" w:type="dxa"/>
            <w:bottom w:w="0" w:type="dxa"/>
            <w:right w:w="0" w:type="dxa"/>
          </w:tblCellMar>
        </w:tblPrEx>
        <w:trPr>
          <w:trHeight w:val="300" w:hRule="atLeast"/>
        </w:trPr>
        <w:tc>
          <w:tcPr>
            <w:tcW w:w="150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kern w:val="0"/>
                <w:sz w:val="24"/>
                <w:szCs w:val="24"/>
                <w:lang w:bidi="ar"/>
              </w:rPr>
            </w:pPr>
            <w:r>
              <w:rPr>
                <w:rFonts w:hint="eastAsia" w:ascii="宋体" w:hAnsi="宋体" w:cs="仿宋_GB2312"/>
                <w:bCs/>
                <w:kern w:val="0"/>
                <w:sz w:val="24"/>
                <w:szCs w:val="24"/>
                <w:lang w:bidi="ar"/>
              </w:rPr>
              <w:t>全市全量案件</w:t>
            </w:r>
          </w:p>
        </w:tc>
        <w:tc>
          <w:tcPr>
            <w:tcW w:w="17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kern w:val="0"/>
                <w:sz w:val="24"/>
                <w:szCs w:val="24"/>
                <w:lang w:bidi="ar"/>
              </w:rPr>
            </w:pPr>
            <w:r>
              <w:rPr>
                <w:rFonts w:hint="eastAsia" w:ascii="宋体" w:hAnsi="宋体" w:cs="仿宋_GB2312"/>
                <w:bCs/>
                <w:kern w:val="0"/>
                <w:sz w:val="24"/>
                <w:szCs w:val="24"/>
                <w:lang w:bidi="ar"/>
              </w:rPr>
              <w:t>65.23%</w:t>
            </w:r>
          </w:p>
        </w:tc>
        <w:tc>
          <w:tcPr>
            <w:tcW w:w="16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kern w:val="0"/>
                <w:sz w:val="24"/>
                <w:szCs w:val="24"/>
                <w:lang w:bidi="ar"/>
              </w:rPr>
            </w:pPr>
            <w:r>
              <w:rPr>
                <w:rFonts w:hint="eastAsia" w:ascii="宋体" w:hAnsi="宋体" w:cs="仿宋_GB2312"/>
                <w:bCs/>
                <w:kern w:val="0"/>
                <w:sz w:val="24"/>
                <w:szCs w:val="24"/>
                <w:lang w:bidi="ar"/>
              </w:rPr>
              <w:t>男性55.67%</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kern w:val="0"/>
                <w:sz w:val="24"/>
                <w:szCs w:val="24"/>
                <w:lang w:bidi="ar"/>
              </w:rPr>
            </w:pPr>
            <w:r>
              <w:rPr>
                <w:rFonts w:hint="eastAsia" w:ascii="宋体" w:hAnsi="宋体" w:cs="仿宋_GB2312"/>
                <w:bCs/>
                <w:kern w:val="0"/>
                <w:sz w:val="24"/>
                <w:szCs w:val="24"/>
                <w:lang w:bidi="ar"/>
              </w:rPr>
              <w:t>86.97%</w:t>
            </w:r>
          </w:p>
        </w:tc>
        <w:tc>
          <w:tcPr>
            <w:tcW w:w="17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jc w:val="center"/>
              <w:textAlignment w:val="center"/>
              <w:rPr>
                <w:rFonts w:ascii="宋体" w:hAnsi="宋体" w:cs="仿宋_GB2312"/>
                <w:bCs/>
                <w:kern w:val="0"/>
                <w:sz w:val="24"/>
                <w:szCs w:val="24"/>
                <w:lang w:bidi="ar"/>
              </w:rPr>
            </w:pPr>
            <w:r>
              <w:rPr>
                <w:rFonts w:hint="eastAsia" w:ascii="宋体" w:hAnsi="宋体" w:cs="仿宋_GB2312"/>
                <w:bCs/>
                <w:kern w:val="0"/>
                <w:sz w:val="24"/>
                <w:szCs w:val="24"/>
                <w:lang w:bidi="ar"/>
              </w:rPr>
              <w:t>66.45%</w:t>
            </w:r>
          </w:p>
        </w:tc>
      </w:tr>
    </w:tbl>
    <w:p>
      <w:pPr>
        <w:widowControl/>
        <w:spacing w:line="400" w:lineRule="exact"/>
        <w:ind w:firstLine="480" w:firstLineChars="200"/>
        <w:jc w:val="left"/>
        <w:rPr>
          <w:rFonts w:ascii="宋体" w:hAnsi="宋体" w:cs="仿宋_GB2312"/>
          <w:sz w:val="24"/>
          <w:szCs w:val="24"/>
        </w:rPr>
      </w:pPr>
      <w:r>
        <w:rPr>
          <w:rFonts w:hint="eastAsia" w:ascii="宋体" w:hAnsi="宋体" w:cs="仿宋_GB2312"/>
          <w:bCs/>
          <w:sz w:val="24"/>
          <w:szCs w:val="24"/>
        </w:rPr>
        <w:t>从社交情况、怀疑情况看</w:t>
      </w:r>
      <w:r>
        <w:rPr>
          <w:rFonts w:hint="eastAsia" w:ascii="宋体" w:hAnsi="宋体" w:cs="仿宋_GB2312"/>
          <w:sz w:val="24"/>
          <w:szCs w:val="24"/>
        </w:rPr>
        <w:t>，在各类案件中，社交活跃程度中性人群在受害人中占到绝大多数，外向和内向性人群因其接触信息广泛或过于单一，被骗概率相对较低。同时在对受害人员访问过程中，大部分受害人表示对接收的诈骗信息表示过怀疑，但还是在知道可能被骗的情况下坚持汇款，有的甚至是接受过类似反诈宣传，仍抱着试试看的侥幸心理。</w:t>
      </w:r>
    </w:p>
    <w:p>
      <w:pPr>
        <w:pStyle w:val="2"/>
        <w:jc w:val="center"/>
        <w:rPr>
          <w:rFonts w:ascii="仿宋_GB2312" w:hAnsi="仿宋_GB2312" w:eastAsia="仿宋_GB2312" w:cs="仿宋_GB2312"/>
          <w:b/>
          <w:bCs/>
          <w:sz w:val="28"/>
          <w:szCs w:val="28"/>
        </w:rPr>
      </w:pPr>
      <w:r>
        <w:drawing>
          <wp:inline distT="0" distB="0" distL="114300" distR="114300">
            <wp:extent cx="4543425" cy="1746250"/>
            <wp:effectExtent l="0" t="0" r="0" b="635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4606025" cy="1770678"/>
                    </a:xfrm>
                    <a:prstGeom prst="rect">
                      <a:avLst/>
                    </a:prstGeom>
                    <a:noFill/>
                    <a:ln>
                      <a:noFill/>
                    </a:ln>
                  </pic:spPr>
                </pic:pic>
              </a:graphicData>
            </a:graphic>
          </wp:inline>
        </w:drawing>
      </w:r>
    </w:p>
    <w:p>
      <w:pPr>
        <w:pStyle w:val="2"/>
        <w:adjustRightInd w:val="0"/>
        <w:snapToGrid w:val="0"/>
        <w:spacing w:line="400" w:lineRule="exact"/>
        <w:jc w:val="center"/>
        <w:rPr>
          <w:rFonts w:cs="仿宋_GB2312"/>
          <w:szCs w:val="24"/>
        </w:rPr>
      </w:pPr>
      <w:r>
        <w:rPr>
          <w:rFonts w:hint="eastAsia" w:cs="仿宋_GB2312"/>
          <w:szCs w:val="24"/>
        </w:rPr>
        <w:t>图4各类案情按社交情况分布图</w:t>
      </w:r>
    </w:p>
    <w:p>
      <w:pPr>
        <w:pStyle w:val="2"/>
        <w:jc w:val="center"/>
      </w:pPr>
      <w:r>
        <w:drawing>
          <wp:inline distT="0" distB="0" distL="114300" distR="114300">
            <wp:extent cx="4591050" cy="1736090"/>
            <wp:effectExtent l="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1"/>
                    <a:stretch>
                      <a:fillRect/>
                    </a:stretch>
                  </pic:blipFill>
                  <pic:spPr>
                    <a:xfrm>
                      <a:off x="0" y="0"/>
                      <a:ext cx="4627689" cy="1750076"/>
                    </a:xfrm>
                    <a:prstGeom prst="rect">
                      <a:avLst/>
                    </a:prstGeom>
                    <a:noFill/>
                    <a:ln>
                      <a:noFill/>
                    </a:ln>
                  </pic:spPr>
                </pic:pic>
              </a:graphicData>
            </a:graphic>
          </wp:inline>
        </w:drawing>
      </w:r>
    </w:p>
    <w:p>
      <w:pPr>
        <w:pStyle w:val="2"/>
        <w:adjustRightInd w:val="0"/>
        <w:snapToGrid w:val="0"/>
        <w:spacing w:line="400" w:lineRule="exact"/>
        <w:jc w:val="center"/>
        <w:rPr>
          <w:rFonts w:cs="仿宋_GB2312"/>
          <w:szCs w:val="24"/>
        </w:rPr>
      </w:pPr>
      <w:r>
        <w:rPr>
          <w:rFonts w:hint="eastAsia" w:cs="仿宋_GB2312"/>
          <w:szCs w:val="24"/>
        </w:rPr>
        <w:t>图5各类案情按受骗怀疑情况分布图</w:t>
      </w:r>
    </w:p>
    <w:p>
      <w:pPr>
        <w:widowControl/>
        <w:spacing w:line="400" w:lineRule="exact"/>
        <w:ind w:firstLine="480" w:firstLineChars="200"/>
        <w:rPr>
          <w:rFonts w:ascii="宋体" w:hAnsi="宋体" w:cs="仿宋_GB2312"/>
          <w:sz w:val="24"/>
          <w:szCs w:val="24"/>
        </w:rPr>
      </w:pPr>
      <w:r>
        <w:rPr>
          <w:rFonts w:hint="eastAsia" w:ascii="宋体" w:hAnsi="宋体" w:cs="仿宋_GB2312"/>
          <w:bCs/>
          <w:sz w:val="24"/>
          <w:szCs w:val="24"/>
        </w:rPr>
        <w:t>从网络行为特征看</w:t>
      </w:r>
      <w:r>
        <w:rPr>
          <w:rFonts w:hint="eastAsia" w:ascii="宋体" w:hAnsi="宋体" w:cs="仿宋_GB2312"/>
          <w:sz w:val="24"/>
          <w:szCs w:val="24"/>
        </w:rPr>
        <w:t>，高发类案的受害人的相关行为特征较为明显，如贷款诈骗受害人，有较为强烈的资金需求，手机APP应用中的贷款软件至少在2款以上，曾向4个以上正规贷款平台表示过贷款意愿的人员被骗概率最高；投资类诈骗受害人，关注财经、股票信息的活动十分频繁，对投资收益越高的信息关注度高于正常自然人；兼职刷单诈骗受害人，会广泛关注兼职群、广告、视频等。</w:t>
      </w:r>
    </w:p>
    <w:p>
      <w:pPr>
        <w:pStyle w:val="2"/>
        <w:spacing w:line="400" w:lineRule="exact"/>
        <w:ind w:firstLine="480" w:firstLineChars="200"/>
        <w:jc w:val="both"/>
        <w:rPr>
          <w:rFonts w:cs="仿宋_GB2312"/>
          <w:szCs w:val="24"/>
        </w:rPr>
      </w:pPr>
      <w:r>
        <w:rPr>
          <w:rFonts w:hint="eastAsia" w:cs="仿宋_GB2312"/>
          <w:kern w:val="2"/>
          <w:szCs w:val="24"/>
        </w:rPr>
        <w:t>另外，受害人群的学历、收入也是重要因素，但由于统计信息无法做到精准和完整，存在一定缺陷，将在后续研究中持续完善。</w:t>
      </w:r>
    </w:p>
    <w:p>
      <w:pPr>
        <w:spacing w:before="93" w:beforeLines="30" w:after="93" w:afterLines="30" w:line="400" w:lineRule="exact"/>
        <w:ind w:firstLine="560" w:firstLineChars="200"/>
        <w:rPr>
          <w:rFonts w:ascii="黑体" w:hAnsi="黑体" w:eastAsia="黑体" w:cs="黑体"/>
          <w:sz w:val="28"/>
          <w:szCs w:val="28"/>
        </w:rPr>
      </w:pPr>
      <w:r>
        <w:rPr>
          <w:rFonts w:hint="eastAsia" w:ascii="黑体" w:hAnsi="黑体" w:eastAsia="黑体" w:cs="黑体"/>
          <w:sz w:val="28"/>
          <w:szCs w:val="28"/>
        </w:rPr>
        <w:t>二、新型诈骗犯罪宣防工作困境</w:t>
      </w:r>
    </w:p>
    <w:p>
      <w:pPr>
        <w:pStyle w:val="2"/>
        <w:spacing w:line="400" w:lineRule="exact"/>
        <w:ind w:firstLine="480" w:firstLineChars="200"/>
        <w:jc w:val="both"/>
        <w:rPr>
          <w:rFonts w:cs="仿宋_GB2312"/>
          <w:szCs w:val="24"/>
        </w:rPr>
      </w:pPr>
      <w:r>
        <w:rPr>
          <w:rFonts w:hint="eastAsia" w:cs="仿宋_GB2312"/>
          <w:szCs w:val="24"/>
        </w:rPr>
        <w:t>近两年，电信网络诈骗防范宣传工作得到了高度重视，特别是中央、省市两办意见出台，充分发挥基层组织作用，开展了广泛的宣传活动，从短信提醒、广告标语、广场活动、宣传培训、反诈一条街、反诈餐厅，上门送达宣传册子，签订承诺书、责任状，到新闻报道、微信群、反诈反诈视频、影视作品等等，甚至提出了不漏一户，不漏一人的工作目标，在社会面上做到了全覆盖，多轮次轰炸，铺天盖地，可以说是政府主导宣传工作中投入人力做多，力度最大的，这对快速遏制案件高发势头起到了重要作用。虽然案件持续上升的势头被控制，但发案仍在高位运行，多发的情况没有改变，很多从事反诈工作的人员对宣传工作产生了困惑，对工作的信心出现动摇，甚至出现了宣传无用的论断。</w:t>
      </w:r>
    </w:p>
    <w:p>
      <w:pPr>
        <w:pStyle w:val="2"/>
        <w:spacing w:line="400" w:lineRule="exact"/>
        <w:ind w:firstLine="480" w:firstLineChars="200"/>
        <w:jc w:val="both"/>
        <w:rPr>
          <w:rFonts w:cs="仿宋_GB2312"/>
          <w:szCs w:val="24"/>
        </w:rPr>
      </w:pPr>
      <w:r>
        <w:rPr>
          <w:rFonts w:hint="eastAsia" w:cs="仿宋"/>
          <w:bCs/>
          <w:szCs w:val="24"/>
        </w:rPr>
        <w:t>（一）认知上存在偏差。</w:t>
      </w:r>
      <w:r>
        <w:rPr>
          <w:rFonts w:hint="eastAsia" w:cs="仿宋_GB2312"/>
          <w:b/>
          <w:szCs w:val="24"/>
        </w:rPr>
        <w:t>一是</w:t>
      </w:r>
      <w:r>
        <w:rPr>
          <w:rFonts w:hint="eastAsia" w:cs="仿宋_GB2312"/>
          <w:szCs w:val="24"/>
        </w:rPr>
        <w:t>受害人的认知，认为自己对电信网络诈骗的识别能力盲目自信，或者是对涉诈信息没有任何识别能力，缺乏对常识性问题的冷静思考，还有就是人性弱点充分暴露。如“杀猪盘”类诈骗受害人，基本上是幻想一夜暴富、不劳而获的求利心理，他们对于投资的渴望已经压倒性地战胜风险意识。</w:t>
      </w:r>
      <w:r>
        <w:rPr>
          <w:rFonts w:hint="eastAsia" w:cs="仿宋_GB2312"/>
          <w:b/>
          <w:szCs w:val="24"/>
        </w:rPr>
        <w:t>二是</w:t>
      </w:r>
      <w:r>
        <w:rPr>
          <w:rFonts w:hint="eastAsia" w:cs="仿宋_GB2312"/>
          <w:szCs w:val="24"/>
        </w:rPr>
        <w:t>各级政府部门对电信网络诈骗犯罪已是当前主流犯罪，并将持续存在的客观现实的认知不到位，没有做好长期对抗的心理和思想的准备，很容易出现应付了事，浮于表面的状况。</w:t>
      </w:r>
    </w:p>
    <w:p>
      <w:pPr>
        <w:pStyle w:val="2"/>
        <w:spacing w:line="400" w:lineRule="exact"/>
        <w:ind w:firstLine="480" w:firstLineChars="200"/>
        <w:jc w:val="both"/>
        <w:rPr>
          <w:rFonts w:cs="仿宋_GB2312"/>
          <w:szCs w:val="24"/>
        </w:rPr>
      </w:pPr>
      <w:r>
        <w:rPr>
          <w:rFonts w:hint="eastAsia" w:cs="仿宋"/>
          <w:bCs/>
          <w:szCs w:val="24"/>
        </w:rPr>
        <w:t>（二）宣防跟不上犯罪手段更新速度。</w:t>
      </w:r>
      <w:r>
        <w:rPr>
          <w:rFonts w:hint="eastAsia" w:cs="仿宋_GB2312"/>
          <w:szCs w:val="24"/>
        </w:rPr>
        <w:t>电信网络诈骗犯罪防范工作的复杂性在于其种类繁多，迷惑性强，诈骗分子为获取更大利益过程中，不断升级变化手段和工作，更是不断结合社会热点和新生事物，编制演变诈骗话术，而且很多场景在现实生活中有合理存在，如兼职刷单诈骗，不少企业、网店为扩大商业影响，通过网络雇佣兼职人员，组织点赞、做小任务的营销活动。根据公安部公布的主要诈骗类型，可以分为13大类46种小类，不同诈骗类型持续时间长短不一，有些1、2个小时即完成整个诈骗过程，有些将会持续一个月以上，受害人被深度洗脑，这对宣传工作带来了巨大的挑战。在与受宣人员短时间接触的条件下，有效地将涉及多个种类且环节众多的诈骗套路说清楚，是一项“不可能完成”的工作。</w:t>
      </w:r>
    </w:p>
    <w:p>
      <w:pPr>
        <w:jc w:val="center"/>
      </w:pPr>
      <w:r>
        <w:drawing>
          <wp:inline distT="0" distB="0" distL="114300" distR="114300">
            <wp:extent cx="4848225" cy="208153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4966908" cy="2132964"/>
                    </a:xfrm>
                    <a:prstGeom prst="rect">
                      <a:avLst/>
                    </a:prstGeom>
                    <a:noFill/>
                    <a:ln>
                      <a:noFill/>
                    </a:ln>
                  </pic:spPr>
                </pic:pic>
              </a:graphicData>
            </a:graphic>
          </wp:inline>
        </w:drawing>
      </w:r>
    </w:p>
    <w:p>
      <w:pPr>
        <w:pStyle w:val="2"/>
        <w:adjustRightInd w:val="0"/>
        <w:snapToGrid w:val="0"/>
        <w:spacing w:line="400" w:lineRule="exact"/>
        <w:jc w:val="center"/>
        <w:rPr>
          <w:rFonts w:cs="仿宋_GB2312"/>
          <w:szCs w:val="24"/>
        </w:rPr>
      </w:pPr>
      <w:r>
        <w:rPr>
          <w:rFonts w:hint="eastAsia" w:cs="仿宋_GB2312"/>
          <w:szCs w:val="24"/>
        </w:rPr>
        <w:t>图6各类案件时长分布图</w:t>
      </w:r>
    </w:p>
    <w:p>
      <w:pPr>
        <w:pStyle w:val="2"/>
        <w:spacing w:line="400" w:lineRule="exact"/>
        <w:ind w:firstLine="480" w:firstLineChars="200"/>
        <w:jc w:val="both"/>
        <w:rPr>
          <w:rFonts w:cs="仿宋_GB2312"/>
          <w:szCs w:val="24"/>
        </w:rPr>
      </w:pPr>
      <w:r>
        <w:rPr>
          <w:rFonts w:hint="eastAsia" w:cs="仿宋"/>
          <w:bCs/>
          <w:szCs w:val="24"/>
        </w:rPr>
        <w:t>（三）宣传内容有效传播难。</w:t>
      </w:r>
      <w:r>
        <w:rPr>
          <w:rFonts w:hint="eastAsia" w:cs="仿宋_GB2312"/>
          <w:b/>
          <w:szCs w:val="24"/>
        </w:rPr>
        <w:t>一方面</w:t>
      </w:r>
      <w:r>
        <w:rPr>
          <w:rFonts w:hint="eastAsia" w:cs="仿宋_GB2312"/>
          <w:szCs w:val="24"/>
        </w:rPr>
        <w:t>依托各级政府部门力量对全社会开展宣传活动，受到经费、人力因素的影响，往往只能采用口号式、标语式宣传，利用官方纸媒、自媒体开展信息发布，有些宣传活动可以说是“自嗨式”的。</w:t>
      </w:r>
      <w:r>
        <w:rPr>
          <w:rFonts w:hint="eastAsia" w:cs="仿宋_GB2312"/>
          <w:b/>
          <w:szCs w:val="24"/>
        </w:rPr>
        <w:t>另一方面</w:t>
      </w:r>
      <w:r>
        <w:rPr>
          <w:rFonts w:hint="eastAsia" w:cs="仿宋_GB2312"/>
          <w:szCs w:val="24"/>
        </w:rPr>
        <w:t>以</w:t>
      </w:r>
      <w:r>
        <w:rPr>
          <w:rFonts w:hint="eastAsia" w:cs="仿宋_GB2312"/>
          <w:kern w:val="2"/>
          <w:szCs w:val="24"/>
        </w:rPr>
        <w:t>17至45岁为主且外地户籍人员占多数的的受害群体，受“快餐”文化的影响，很难接受枯燥乏味的说教式宣传内容，即使是质量较高的宣传视频，也会选择视而不见。</w:t>
      </w:r>
    </w:p>
    <w:p>
      <w:pPr>
        <w:pStyle w:val="2"/>
        <w:spacing w:line="400" w:lineRule="exact"/>
        <w:ind w:firstLine="480" w:firstLineChars="200"/>
        <w:jc w:val="both"/>
        <w:rPr>
          <w:rFonts w:cs="仿宋_GB2312"/>
          <w:szCs w:val="24"/>
        </w:rPr>
      </w:pPr>
      <w:r>
        <w:rPr>
          <w:rFonts w:hint="eastAsia" w:cs="仿宋"/>
          <w:bCs/>
          <w:szCs w:val="24"/>
        </w:rPr>
        <w:t>（四）宣传职责不清。</w:t>
      </w:r>
      <w:r>
        <w:rPr>
          <w:rFonts w:hint="eastAsia" w:cs="仿宋_GB2312"/>
          <w:szCs w:val="24"/>
        </w:rPr>
        <w:t>面对汹涌而来的电信网络诈骗犯罪，各地党委政府、部门构建全社会反诈格局的共识越来越强，也相继出台了工作意见和实施方案，但要做哪些，怎么做还是十分模糊，主要体现在属地政府、职能部门、公安机关三者功能定位、任务分配上存在偏差。</w:t>
      </w:r>
      <w:r>
        <w:rPr>
          <w:rFonts w:hint="eastAsia" w:cs="仿宋_GB2312"/>
          <w:b/>
          <w:szCs w:val="24"/>
        </w:rPr>
        <w:t>一是</w:t>
      </w:r>
      <w:r>
        <w:rPr>
          <w:rFonts w:hint="eastAsia" w:cs="仿宋_GB2312"/>
          <w:szCs w:val="24"/>
        </w:rPr>
        <w:t>认为反诈宣传就是公安机关的职责，属地政府提供资金保障就算任务完成，有些职能部门没有真正发动起来，仅在方案上、会议上简单部署一下；</w:t>
      </w:r>
      <w:r>
        <w:rPr>
          <w:rFonts w:hint="eastAsia" w:cs="仿宋_GB2312"/>
          <w:b/>
          <w:szCs w:val="24"/>
        </w:rPr>
        <w:t>二是</w:t>
      </w:r>
      <w:r>
        <w:rPr>
          <w:rFonts w:hint="eastAsia" w:cs="仿宋_GB2312"/>
          <w:szCs w:val="24"/>
        </w:rPr>
        <w:t>工作针对性不强，导致一轰隆上，工作做了很多，但成效体现不出来；</w:t>
      </w:r>
      <w:r>
        <w:rPr>
          <w:rFonts w:hint="eastAsia" w:cs="仿宋_GB2312"/>
          <w:b/>
          <w:szCs w:val="24"/>
        </w:rPr>
        <w:t>三是</w:t>
      </w:r>
      <w:r>
        <w:rPr>
          <w:rFonts w:hint="eastAsia" w:cs="仿宋_GB2312"/>
          <w:szCs w:val="24"/>
        </w:rPr>
        <w:t>公安机关没有充分利用数据资源，对受害群体进行深度分析，仅提出目标、任务，指导性不强，基层对宣传工作抓不住方向和重点。</w:t>
      </w:r>
    </w:p>
    <w:p>
      <w:pPr>
        <w:pStyle w:val="2"/>
        <w:spacing w:line="400" w:lineRule="exact"/>
        <w:ind w:firstLine="480" w:firstLineChars="200"/>
        <w:jc w:val="both"/>
        <w:rPr>
          <w:rFonts w:cs="仿宋_GB2312"/>
          <w:szCs w:val="24"/>
        </w:rPr>
      </w:pPr>
      <w:r>
        <w:rPr>
          <w:rFonts w:hint="eastAsia" w:cs="仿宋"/>
          <w:bCs/>
          <w:szCs w:val="24"/>
        </w:rPr>
        <w:t>（五）基层力量严重不足。</w:t>
      </w:r>
      <w:r>
        <w:rPr>
          <w:rFonts w:hint="eastAsia" w:cs="仿宋_GB2312"/>
          <w:szCs w:val="24"/>
        </w:rPr>
        <w:t>电信网络诈骗犯罪的特性决定了人人皆有可能被骗，其受害群体十分庞大，而且这个群体是在动态增替的，加之上文所述的宣传难点，需要投入大量的人力持续不断开展。然而目前基层工作很多都是由社区干部和网格员落实，导致社区干部和网格员面对如此庞大的人群和工作量，所谓的不漏一户、不漏一人实为一个伪命题。</w:t>
      </w:r>
    </w:p>
    <w:p>
      <w:pPr>
        <w:spacing w:line="400" w:lineRule="exact"/>
        <w:ind w:firstLine="480" w:firstLineChars="200"/>
        <w:rPr>
          <w:rFonts w:ascii="宋体" w:hAnsi="宋体" w:cs="仿宋_GB2312"/>
          <w:kern w:val="0"/>
          <w:sz w:val="24"/>
          <w:szCs w:val="24"/>
          <w:highlight w:val="yellow"/>
        </w:rPr>
      </w:pPr>
      <w:r>
        <w:rPr>
          <w:rFonts w:hint="eastAsia" w:ascii="宋体" w:hAnsi="宋体" w:cs="仿宋"/>
          <w:bCs/>
          <w:kern w:val="0"/>
          <w:sz w:val="24"/>
          <w:szCs w:val="24"/>
        </w:rPr>
        <w:t>（六）预警劝阻存在漏洞。</w:t>
      </w:r>
      <w:r>
        <w:rPr>
          <w:rFonts w:hint="eastAsia" w:ascii="宋体" w:hAnsi="宋体" w:cs="仿宋_GB2312"/>
          <w:kern w:val="0"/>
          <w:sz w:val="24"/>
          <w:szCs w:val="24"/>
        </w:rPr>
        <w:t>通过通讯侧、网络侧模型搭建发现正在接触诈骗信息或在诈骗过程中的人员，通过电话、见面等形式进行干预。但在实际运行过程中，从预警信息发现、解析、传递、下发直至实施劝阻，均存在不同程度的漏洞。</w:t>
      </w:r>
      <w:r>
        <w:rPr>
          <w:rFonts w:hint="eastAsia" w:ascii="宋体" w:hAnsi="宋体" w:cs="仿宋_GB2312"/>
          <w:b/>
          <w:kern w:val="0"/>
          <w:sz w:val="24"/>
          <w:szCs w:val="24"/>
        </w:rPr>
        <w:t>首先</w:t>
      </w:r>
      <w:r>
        <w:rPr>
          <w:rFonts w:hint="eastAsia" w:ascii="宋体" w:hAnsi="宋体" w:cs="仿宋_GB2312"/>
          <w:kern w:val="0"/>
          <w:sz w:val="24"/>
          <w:szCs w:val="24"/>
        </w:rPr>
        <w:t>是无法做到全量发现解析；</w:t>
      </w:r>
      <w:r>
        <w:rPr>
          <w:rFonts w:hint="eastAsia" w:ascii="宋体" w:hAnsi="宋体" w:cs="仿宋_GB2312"/>
          <w:b/>
          <w:kern w:val="0"/>
          <w:sz w:val="24"/>
          <w:szCs w:val="24"/>
        </w:rPr>
        <w:t>其次</w:t>
      </w:r>
      <w:r>
        <w:rPr>
          <w:rFonts w:hint="eastAsia" w:ascii="宋体" w:hAnsi="宋体" w:cs="仿宋_GB2312"/>
          <w:kern w:val="0"/>
          <w:sz w:val="24"/>
          <w:szCs w:val="24"/>
        </w:rPr>
        <w:t>是时间上存在一定滞后性；</w:t>
      </w:r>
      <w:r>
        <w:rPr>
          <w:rFonts w:hint="eastAsia" w:ascii="宋体" w:hAnsi="宋体" w:cs="仿宋_GB2312"/>
          <w:b/>
          <w:kern w:val="0"/>
          <w:sz w:val="24"/>
          <w:szCs w:val="24"/>
        </w:rPr>
        <w:t>最后</w:t>
      </w:r>
      <w:r>
        <w:rPr>
          <w:rFonts w:hint="eastAsia" w:ascii="宋体" w:hAnsi="宋体" w:cs="仿宋_GB2312"/>
          <w:kern w:val="0"/>
          <w:sz w:val="24"/>
          <w:szCs w:val="24"/>
        </w:rPr>
        <w:t>是数据量大、时间紧急，2022年1-10月全市共下发劝阻指令126万条，部分派出所劝阻指令已达到110指令的1.5-2倍，导致警力无法保障。</w:t>
      </w:r>
    </w:p>
    <w:p>
      <w:pPr>
        <w:spacing w:before="93" w:beforeLines="30" w:after="93" w:afterLines="30" w:line="400" w:lineRule="exact"/>
        <w:ind w:firstLine="560" w:firstLineChars="200"/>
        <w:rPr>
          <w:rFonts w:ascii="黑体" w:hAnsi="黑体" w:eastAsia="黑体" w:cs="黑体"/>
          <w:sz w:val="28"/>
          <w:szCs w:val="28"/>
        </w:rPr>
      </w:pPr>
      <w:r>
        <w:rPr>
          <w:rFonts w:hint="eastAsia" w:ascii="黑体" w:hAnsi="黑体" w:eastAsia="黑体" w:cs="黑体"/>
          <w:sz w:val="28"/>
          <w:szCs w:val="28"/>
        </w:rPr>
        <w:t>三、易感人群异常特征识别模型构建原理与方法</w:t>
      </w:r>
    </w:p>
    <w:p>
      <w:pPr>
        <w:pStyle w:val="2"/>
        <w:spacing w:line="400" w:lineRule="exact"/>
        <w:ind w:firstLine="480" w:firstLineChars="200"/>
        <w:jc w:val="both"/>
        <w:rPr>
          <w:rFonts w:cs="仿宋_GB2312"/>
          <w:szCs w:val="24"/>
        </w:rPr>
      </w:pPr>
      <w:r>
        <w:rPr>
          <w:rFonts w:hint="eastAsia" w:cs="仿宋_GB2312"/>
          <w:szCs w:val="24"/>
        </w:rPr>
        <w:t>通过上述对宣传工作存在问题的分析，不难发现仅靠面上的广泛发动，口号式标语式宣传提醒的普宣工作模式，以及利用技术发现预警对象开展劝阻，都不能完全阻断所有案件的发生，难以长期维系。基层亟需精准的宣传目标，提前获取最有可能被骗人群作为宣传重点，将有限的力量投入到最为需要开展宣传的人群中去，以缓解宣传防控工作压力。</w:t>
      </w:r>
    </w:p>
    <w:p>
      <w:pPr>
        <w:pStyle w:val="2"/>
        <w:spacing w:line="400" w:lineRule="exact"/>
        <w:ind w:firstLine="480" w:firstLineChars="200"/>
        <w:jc w:val="both"/>
        <w:rPr>
          <w:rFonts w:cs="仿宋_GB2312"/>
          <w:szCs w:val="24"/>
          <w:lang w:eastAsia="zh-Hans"/>
        </w:rPr>
      </w:pPr>
      <w:r>
        <w:rPr>
          <w:rFonts w:hint="eastAsia" w:cs="仿宋_GB2312"/>
          <w:szCs w:val="24"/>
        </w:rPr>
        <w:t>与此同时，在前文分析中可知不同类型诈骗的被害人在性别、年龄、户籍、职业等方面存在不同，其在网络上的行为更是存在明显差异。</w:t>
      </w:r>
      <w:r>
        <w:rPr>
          <w:rFonts w:hint="eastAsia" w:cs="仿宋_GB2312"/>
          <w:szCs w:val="24"/>
          <w:lang w:eastAsia="zh-Hans"/>
        </w:rPr>
        <w:t>结合移动互联网端的APP安装活跃数据、LBS行为、资金端数据，以及人口相关性别、年龄、户籍等基画像特征，利用机器学习模型构建</w:t>
      </w:r>
      <w:r>
        <w:rPr>
          <w:rFonts w:hint="eastAsia" w:cs="仿宋_GB2312"/>
          <w:szCs w:val="24"/>
        </w:rPr>
        <w:t>各类</w:t>
      </w:r>
      <w:r>
        <w:rPr>
          <w:rFonts w:hint="eastAsia" w:cs="仿宋_GB2312"/>
          <w:szCs w:val="24"/>
          <w:lang w:eastAsia="zh-Hans"/>
        </w:rPr>
        <w:t>易感模型，再结合传统层次分析法将易感模型融合赋分，得到辖区最终易感群体</w:t>
      </w:r>
      <w:r>
        <w:rPr>
          <w:rFonts w:hint="eastAsia" w:cs="仿宋_GB2312"/>
          <w:szCs w:val="24"/>
        </w:rPr>
        <w:t>及其可能受骗类型，</w:t>
      </w:r>
      <w:r>
        <w:rPr>
          <w:rFonts w:hint="eastAsia" w:cs="仿宋_GB2312"/>
          <w:szCs w:val="24"/>
          <w:lang w:eastAsia="zh-Hans"/>
        </w:rPr>
        <w:t>在接触诈骗分子之前就进行针对性的宣防工作，</w:t>
      </w:r>
      <w:r>
        <w:rPr>
          <w:rFonts w:hint="eastAsia" w:cs="仿宋_GB2312"/>
          <w:szCs w:val="24"/>
        </w:rPr>
        <w:t>进一步实现防范关口前移，弥补普宣和预警劝阻工作漏洞，</w:t>
      </w:r>
      <w:r>
        <w:rPr>
          <w:rFonts w:hint="eastAsia" w:cs="仿宋_GB2312"/>
          <w:szCs w:val="24"/>
          <w:lang w:eastAsia="zh-Hans"/>
        </w:rPr>
        <w:t>从而降低诈骗成功率，</w:t>
      </w:r>
      <w:r>
        <w:rPr>
          <w:rFonts w:hint="eastAsia" w:cs="仿宋_GB2312"/>
          <w:szCs w:val="24"/>
        </w:rPr>
        <w:t>减少案件发生</w:t>
      </w:r>
      <w:r>
        <w:rPr>
          <w:rFonts w:hint="eastAsia" w:cs="仿宋_GB2312"/>
          <w:szCs w:val="24"/>
          <w:lang w:eastAsia="zh-Hans"/>
        </w:rPr>
        <w:t>。</w:t>
      </w:r>
    </w:p>
    <w:p>
      <w:pPr>
        <w:pStyle w:val="2"/>
        <w:spacing w:line="400" w:lineRule="exact"/>
        <w:ind w:firstLine="480" w:firstLineChars="200"/>
        <w:jc w:val="both"/>
        <w:rPr>
          <w:rFonts w:cs="仿宋_GB2312"/>
          <w:szCs w:val="24"/>
        </w:rPr>
      </w:pPr>
      <w:r>
        <w:rPr>
          <w:rFonts w:hint="eastAsia" w:cs="仿宋_GB2312"/>
          <w:szCs w:val="24"/>
          <w:lang w:eastAsia="zh-Hans"/>
        </w:rPr>
        <w:t>基于以上背景，</w:t>
      </w:r>
      <w:r>
        <w:rPr>
          <w:rFonts w:hint="eastAsia" w:cs="仿宋_GB2312"/>
          <w:szCs w:val="24"/>
        </w:rPr>
        <w:t>宁波市公安局新型犯罪侦查支队与阿里、云深科技、抖音等互联网公司开展合作，针对不同诈骗类型受害人在性别、年龄、户籍、职业以及网络行为的差异，利用TGI、IV两个指数进行分析和层次分析法建立新型诈骗易感人群异常特征识别模型，梳理发现易感人员，指导宣防工作。</w:t>
      </w:r>
    </w:p>
    <w:p>
      <w:pPr>
        <w:pStyle w:val="2"/>
        <w:spacing w:line="400" w:lineRule="exact"/>
        <w:ind w:firstLine="480" w:firstLineChars="200"/>
        <w:jc w:val="both"/>
        <w:rPr>
          <w:rFonts w:cs="仿宋_GB2312"/>
          <w:szCs w:val="24"/>
        </w:rPr>
      </w:pPr>
      <w:r>
        <w:rPr>
          <w:rFonts w:hint="eastAsia" w:cs="仿宋"/>
          <w:bCs/>
          <w:szCs w:val="24"/>
        </w:rPr>
        <w:t>（一）易感人群识别理论依据。</w:t>
      </w:r>
      <w:r>
        <w:rPr>
          <w:rFonts w:hint="eastAsia" w:cs="仿宋_GB2312"/>
          <w:b/>
          <w:szCs w:val="24"/>
        </w:rPr>
        <w:t>首先</w:t>
      </w:r>
      <w:r>
        <w:rPr>
          <w:rFonts w:hint="eastAsia" w:cs="仿宋_GB2312"/>
          <w:szCs w:val="24"/>
        </w:rPr>
        <w:t xml:space="preserve">是特征的筛选，通常会用到TGI（Target Group Index）、IV(Information </w:t>
      </w:r>
      <w:r>
        <w:rPr>
          <w:rFonts w:hint="eastAsia" w:cs="仿宋"/>
          <w:bCs/>
          <w:szCs w:val="24"/>
        </w:rPr>
        <w:t>Value</w:t>
      </w:r>
      <w:r>
        <w:rPr>
          <w:rFonts w:hint="eastAsia" w:cs="仿宋_GB2312"/>
          <w:szCs w:val="24"/>
        </w:rPr>
        <w:t>)这两个指数来分析。TGI即目标群体指数，是反映目标群体在特定研究范围(如地理区域、人口统计领域、媒体受众、产品消费者)内的强势或弱势的指数，通过正负样本占比的分析，发现特征反应差异程度。IV是特征选择的方法之一，可以用来衡量自变量的预测能力。挑选入模变量过程是个比较复杂的过程，需要考虑的因素很多，比如：变量的预测能力，变量之间的相关性，变量的简单性（容易生成和使用），变量的强壮性（不容易被绕过），变量在业务上的可解释性（被挑战时可以解释的通）等等。其中最主要和最直接的衡量标准是变量的预测能力。</w:t>
      </w:r>
      <w:r>
        <w:rPr>
          <w:rFonts w:hint="eastAsia" w:cs="仿宋_GB2312"/>
          <w:b/>
          <w:szCs w:val="24"/>
        </w:rPr>
        <w:t>其次</w:t>
      </w:r>
      <w:r>
        <w:rPr>
          <w:rFonts w:hint="eastAsia" w:cs="仿宋_GB2312"/>
          <w:szCs w:val="24"/>
        </w:rPr>
        <w:t>是层次分析法(The Analytic Hierarchy Process即 AHP)，是在充分研究了人类思维过程的基础上提出来的, 它较合理地解决了定性问题定量化的处理过程。AHP的主要特点是通过建立递阶层次结构, 把人类的判断转化到若干因素两两之间重要度的比较上, 从而把难于量化的定性判断转化为可操作的重要度的比较上面。在许多情况下, 决策者可以直接使用AHP进行决策, 极大地提高了决策的有效性、可靠性和可行性, 但其本质是一种思维方式, 它把复杂问题分解成多个组成因素, 又将这些因素按支配关系分别形成递阶层次结构, 通过两两比较的方法确定决策方案相对重要度的总排序。</w:t>
      </w:r>
    </w:p>
    <w:p>
      <w:pPr>
        <w:pStyle w:val="2"/>
        <w:spacing w:line="400" w:lineRule="exact"/>
        <w:ind w:firstLine="480" w:firstLineChars="200"/>
        <w:jc w:val="both"/>
        <w:rPr>
          <w:rFonts w:cs="仿宋_GB2312"/>
          <w:szCs w:val="24"/>
          <w:lang w:eastAsia="zh-Hans"/>
        </w:rPr>
      </w:pPr>
      <w:r>
        <w:rPr>
          <w:rFonts w:hint="eastAsia" w:cs="仿宋"/>
          <w:bCs/>
          <w:szCs w:val="24"/>
        </w:rPr>
        <w:t>（二）易感人群的异常特征。</w:t>
      </w:r>
      <w:r>
        <w:rPr>
          <w:rFonts w:hint="eastAsia" w:cs="仿宋_GB2312"/>
          <w:szCs w:val="24"/>
          <w:lang w:eastAsia="zh-Hans"/>
        </w:rPr>
        <w:t>通过对宁波市2021年7月份至2022年5月份以来的电诈受害人样本与自然人群特征进行对比分析，通过引入统计学指标信息熵对受害人样本的特异性特征进行提炼，从而通过特异性特征进一步扩线发现潜在的易感群体。信息熵是消除不确定性所需信息量的度量，即未知事件可能含有的信息量。我们用信息熵来描述一个事件混乱程度的大小（一个事件我们一定知道结果，那么这个事件的混乱程度就是0；而相反一个事件充满随机性，我们猜不到或者很难猜到结果，那么他的混乱度就很大）。</w:t>
      </w:r>
    </w:p>
    <w:p>
      <w:pPr>
        <w:adjustRightInd w:val="0"/>
        <w:snapToGrid w:val="0"/>
        <w:jc w:val="center"/>
        <w:rPr>
          <w:lang w:eastAsia="zh-Hans"/>
        </w:rPr>
      </w:pPr>
      <w:r>
        <w:drawing>
          <wp:inline distT="0" distB="0" distL="114300" distR="114300">
            <wp:extent cx="4518660" cy="3489325"/>
            <wp:effectExtent l="0" t="0" r="3810" b="9525"/>
            <wp:docPr id="20" name="图片 20" descr="屏幕快照 2022-11-20 下午9.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快照 2022-11-20 下午9.36.43"/>
                    <pic:cNvPicPr>
                      <a:picLocks noChangeAspect="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rcRect t="2562" b="2135"/>
                    <a:stretch>
                      <a:fillRect/>
                    </a:stretch>
                  </pic:blipFill>
                  <pic:spPr>
                    <a:xfrm>
                      <a:off x="0" y="0"/>
                      <a:ext cx="4518837" cy="3489498"/>
                    </a:xfrm>
                    <a:prstGeom prst="rect">
                      <a:avLst/>
                    </a:prstGeom>
                    <a:ln>
                      <a:noFill/>
                    </a:ln>
                  </pic:spPr>
                </pic:pic>
              </a:graphicData>
            </a:graphic>
          </wp:inline>
        </w:drawing>
      </w:r>
    </w:p>
    <w:p>
      <w:pPr>
        <w:pStyle w:val="2"/>
        <w:adjustRightInd w:val="0"/>
        <w:snapToGrid w:val="0"/>
        <w:spacing w:line="400" w:lineRule="exact"/>
        <w:jc w:val="center"/>
        <w:rPr>
          <w:rFonts w:cs="仿宋_GB2312"/>
          <w:szCs w:val="24"/>
        </w:rPr>
      </w:pPr>
      <w:r>
        <w:rPr>
          <w:rFonts w:hint="eastAsia" w:cs="仿宋_GB2312"/>
          <w:szCs w:val="24"/>
        </w:rPr>
        <w:t>图7 易感特征分析流程图</w:t>
      </w:r>
    </w:p>
    <w:p>
      <w:pPr>
        <w:pStyle w:val="2"/>
        <w:spacing w:line="400" w:lineRule="exact"/>
        <w:ind w:firstLine="480" w:firstLineChars="200"/>
        <w:jc w:val="both"/>
        <w:rPr>
          <w:rFonts w:cs="仿宋_GB2312"/>
          <w:szCs w:val="24"/>
          <w:lang w:eastAsia="zh-Hans"/>
        </w:rPr>
      </w:pPr>
      <w:r>
        <w:rPr>
          <w:rFonts w:hint="eastAsia" w:cs="仿宋_GB2312"/>
          <w:szCs w:val="24"/>
          <w:lang w:eastAsia="zh-Hans"/>
        </w:rPr>
        <w:t>以贷款类为例，表1为贷款类受害人对比自然人群的特征分析，贷款类受害人安装贷款类app占比为86.77%明显高于自然人群安装占比29.31%，优惠求职和婚恋交友类的占比亦是高于自然人群安装，再通过计算得出贷款类受害人群安装贷款类、优惠求职类和婚恋交友类的信息熵值分别为0.62、0.43、0.24。通常信息熵大于0.02可认为该特征对识别目标群体有贡献度，从信息熵计算结果我们可以推测贷款类受害人群通常会安装高比例的借贷类APP、优惠求职类APP、婚恋交友类APP。</w:t>
      </w:r>
    </w:p>
    <w:p>
      <w:pPr>
        <w:pStyle w:val="2"/>
        <w:adjustRightInd w:val="0"/>
        <w:snapToGrid w:val="0"/>
        <w:spacing w:line="400" w:lineRule="exact"/>
        <w:jc w:val="center"/>
        <w:rPr>
          <w:rFonts w:cs="仿宋_GB2312"/>
          <w:b/>
          <w:bCs/>
          <w:szCs w:val="24"/>
        </w:rPr>
      </w:pPr>
      <w:r>
        <w:rPr>
          <w:rFonts w:hint="eastAsia" w:cs="仿宋_GB2312"/>
          <w:b/>
          <w:bCs/>
          <w:szCs w:val="24"/>
        </w:rPr>
        <w:t>表2贷款类受害人群体TGI与IV</w:t>
      </w:r>
    </w:p>
    <w:p>
      <w:pPr>
        <w:adjustRightInd w:val="0"/>
        <w:snapToGrid w:val="0"/>
      </w:pPr>
      <w:r>
        <w:rPr>
          <w:rFonts w:ascii="宋体" w:hAnsi="宋体"/>
        </w:rPr>
        <w:object>
          <v:shape id="_x0000_i1025" o:spt="75" type="#_x0000_t75" style="height:130.5pt;width:406.5pt;" o:ole="t" filled="f" o:preferrelative="t" stroked="f" coordsize="21600,21600">
            <v:path/>
            <v:fill on="f" focussize="0,0"/>
            <v:stroke on="f" joinstyle="miter"/>
            <v:imagedata r:id="rId16" o:title=""/>
            <o:lock v:ext="edit" aspectratio="t"/>
            <w10:wrap type="none"/>
            <w10:anchorlock/>
          </v:shape>
          <o:OLEObject Type="Embed" ProgID="Excel.Sheet.12" ShapeID="_x0000_i1025" DrawAspect="Content" ObjectID="_1468075725" r:id="rId15">
            <o:LockedField>false</o:LockedField>
          </o:OLEObject>
        </w:object>
      </w:r>
    </w:p>
    <w:p>
      <w:pPr>
        <w:pStyle w:val="2"/>
        <w:spacing w:line="400" w:lineRule="exact"/>
        <w:ind w:firstLine="480" w:firstLineChars="200"/>
        <w:jc w:val="both"/>
        <w:rPr>
          <w:rFonts w:cs="仿宋_GB2312"/>
          <w:szCs w:val="24"/>
          <w:lang w:eastAsia="zh-Hans"/>
        </w:rPr>
      </w:pPr>
      <w:r>
        <w:rPr>
          <w:rFonts w:hint="eastAsia" w:cs="仿宋"/>
          <w:bCs/>
          <w:szCs w:val="24"/>
        </w:rPr>
        <w:t>（三）易感人群识别的可行性。</w:t>
      </w:r>
      <w:r>
        <w:rPr>
          <w:rFonts w:hint="eastAsia" w:cs="仿宋_GB2312"/>
          <w:szCs w:val="24"/>
          <w:lang w:eastAsia="zh-Hans"/>
        </w:rPr>
        <w:t>为了评估易感模型识别易感群体的可行性，我们引入模型评价指标混淆矩阵中的准确率（命中案件数量/模型预测数量）和召回率（命中案件数量/真实案件数量）对单一模型的效果进行评估。当模型的准确率和召回率达到预期阈值时，我们可认为模型可行，可达到预期效果。混淆矩阵是对分类问题的预测结果的总结。使用计数值汇总正确和不正确预测的数量，并按每个类进行细分，这是混淆矩阵的关键所在。混淆矩阵显示了分类模型的在进行预测时会对哪一部分产生混淆。它不仅可以让您了解分类模型所犯的错误，更重要的是可以了解哪些错误类型正在发生。正是这种对结果的分解克服了仅使用分类准确率所带来的局限性。</w:t>
      </w:r>
    </w:p>
    <w:p>
      <w:pPr>
        <w:widowControl/>
        <w:adjustRightInd w:val="0"/>
        <w:snapToGrid w:val="0"/>
        <w:jc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rPr>
        <w:drawing>
          <wp:inline distT="0" distB="0" distL="114300" distR="114300">
            <wp:extent cx="2924175" cy="2576195"/>
            <wp:effectExtent l="0" t="0" r="9525" b="0"/>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17"/>
                    <a:srcRect t="5934" b="5980"/>
                    <a:stretch>
                      <a:fillRect/>
                    </a:stretch>
                  </pic:blipFill>
                  <pic:spPr>
                    <a:xfrm>
                      <a:off x="0" y="0"/>
                      <a:ext cx="2946807" cy="2595746"/>
                    </a:xfrm>
                    <a:prstGeom prst="rect">
                      <a:avLst/>
                    </a:prstGeom>
                    <a:noFill/>
                    <a:ln>
                      <a:noFill/>
                    </a:ln>
                  </pic:spPr>
                </pic:pic>
              </a:graphicData>
            </a:graphic>
          </wp:inline>
        </w:drawing>
      </w:r>
    </w:p>
    <w:p>
      <w:pPr>
        <w:pStyle w:val="2"/>
        <w:adjustRightInd w:val="0"/>
        <w:snapToGrid w:val="0"/>
        <w:spacing w:line="400" w:lineRule="exact"/>
        <w:jc w:val="center"/>
        <w:rPr>
          <w:rFonts w:cs="仿宋_GB2312"/>
          <w:b/>
          <w:bCs/>
          <w:szCs w:val="24"/>
        </w:rPr>
      </w:pPr>
      <w:r>
        <w:rPr>
          <w:rFonts w:hint="eastAsia" w:cs="仿宋_GB2312"/>
          <w:b/>
          <w:bCs/>
          <w:szCs w:val="24"/>
        </w:rPr>
        <w:t>图8混淆矩阵</w:t>
      </w:r>
    </w:p>
    <w:p>
      <w:pPr>
        <w:pStyle w:val="2"/>
        <w:spacing w:line="400" w:lineRule="exact"/>
        <w:ind w:firstLine="560" w:firstLineChars="200"/>
        <w:jc w:val="both"/>
        <w:rPr>
          <w:rFonts w:cs="仿宋_GB2312" w:asciiTheme="minorEastAsia" w:hAnsiTheme="minorEastAsia" w:eastAsiaTheme="minorEastAsia"/>
          <w:sz w:val="28"/>
          <w:szCs w:val="28"/>
          <w:lang w:eastAsia="zh-Hans"/>
        </w:rPr>
      </w:pPr>
      <w:r>
        <w:rPr>
          <w:rFonts w:hint="eastAsia" w:cs="仿宋_GB2312" w:asciiTheme="minorEastAsia" w:hAnsiTheme="minorEastAsia" w:eastAsiaTheme="minorEastAsia"/>
          <w:sz w:val="28"/>
          <w:szCs w:val="28"/>
          <w:lang w:eastAsia="zh-Hans"/>
        </w:rPr>
        <w:t>以刷单、投资、贷款类易感模型为例，表2为三类易感模型的模型效果评估结果，可以看到贷款类的召回率达到25.24%，即云深易感模型预测的数据全部精准宣防，可以减少25.24%的案件量。</w:t>
      </w:r>
    </w:p>
    <w:p>
      <w:pPr>
        <w:pStyle w:val="2"/>
        <w:adjustRightInd w:val="0"/>
        <w:snapToGrid w:val="0"/>
        <w:spacing w:line="400" w:lineRule="exact"/>
        <w:jc w:val="center"/>
        <w:rPr>
          <w:rFonts w:cs="仿宋_GB2312"/>
          <w:b/>
          <w:bCs/>
          <w:szCs w:val="24"/>
        </w:rPr>
      </w:pPr>
      <w:r>
        <w:rPr>
          <w:rFonts w:hint="eastAsia" w:cs="仿宋_GB2312"/>
          <w:b/>
          <w:bCs/>
          <w:szCs w:val="24"/>
        </w:rPr>
        <w:t>表3 云深易感模型预警效果评估</w:t>
      </w:r>
    </w:p>
    <w:p>
      <w:pPr>
        <w:adjustRightInd w:val="0"/>
        <w:snapToGrid w:val="0"/>
        <w:ind w:left="420" w:hanging="420" w:hangingChars="200"/>
        <w:jc w:val="center"/>
        <w:rPr>
          <w:rFonts w:ascii="楷体_GB2312" w:eastAsia="楷体_GB2312"/>
        </w:rPr>
      </w:pPr>
      <w:r>
        <w:object>
          <v:shape id="_x0000_i1026" o:spt="75" type="#_x0000_t75" style="height:102pt;width:411.75pt;" o:ole="t" filled="f" o:preferrelative="t" stroked="f" coordsize="21600,21600">
            <v:path/>
            <v:fill on="f" focussize="0,0"/>
            <v:stroke on="f" joinstyle="miter"/>
            <v:imagedata r:id="rId19" o:title=""/>
            <o:lock v:ext="edit" aspectratio="t"/>
            <w10:wrap type="none"/>
            <w10:anchorlock/>
          </v:shape>
          <o:OLEObject Type="Embed" ProgID="Excel.Sheet.12" ShapeID="_x0000_i1026" DrawAspect="Content" ObjectID="_1468075726" r:id="rId18">
            <o:LockedField>false</o:LockedField>
          </o:OLEObject>
        </w:object>
      </w:r>
    </w:p>
    <w:p>
      <w:pPr>
        <w:spacing w:line="400" w:lineRule="exact"/>
        <w:ind w:firstLine="480" w:firstLineChars="200"/>
        <w:rPr>
          <w:rFonts w:ascii="宋体" w:hAnsi="宋体" w:cs="仿宋_GB2312"/>
          <w:sz w:val="24"/>
          <w:szCs w:val="24"/>
          <w:lang w:eastAsia="zh-Hans"/>
        </w:rPr>
      </w:pPr>
      <w:r>
        <w:rPr>
          <w:rFonts w:hint="eastAsia" w:ascii="宋体" w:hAnsi="宋体" w:cs="仿宋_GB2312"/>
          <w:kern w:val="0"/>
          <w:sz w:val="24"/>
          <w:szCs w:val="24"/>
        </w:rPr>
        <w:t>（三）</w:t>
      </w:r>
      <w:r>
        <w:rPr>
          <w:rFonts w:hint="eastAsia" w:ascii="宋体" w:hAnsi="宋体" w:cs="仿宋_GB2312"/>
          <w:kern w:val="0"/>
          <w:sz w:val="24"/>
          <w:szCs w:val="24"/>
          <w:lang w:eastAsia="zh-Hans"/>
        </w:rPr>
        <w:t>易感模型的搭建路径和方法。易感模型搭建主要分为3个主要步骤，首先是分别搭建互联网端易感模型、以及对本地人口特征的</w:t>
      </w:r>
      <w:r>
        <w:rPr>
          <w:rFonts w:hint="eastAsia" w:ascii="宋体" w:hAnsi="宋体" w:cs="仿宋_GB2312"/>
          <w:sz w:val="24"/>
          <w:szCs w:val="24"/>
          <w:lang w:eastAsia="zh-Hans"/>
        </w:rPr>
        <w:t>洞察分析，其次是对互联网端易感模型质量分别评估，确定各端易感模型的赋分权重。最后是引入层次分析法对各端模型以及本地人口特征融合建模，输出融合易感模型结果，并根据分数的高低对易感群里划分高、中、低风险。易感模型搭建流程图参见图</w:t>
      </w:r>
      <w:r>
        <w:rPr>
          <w:rFonts w:hint="eastAsia" w:ascii="宋体" w:hAnsi="宋体" w:cs="仿宋_GB2312"/>
          <w:sz w:val="24"/>
          <w:szCs w:val="24"/>
        </w:rPr>
        <w:t>9</w:t>
      </w:r>
      <w:r>
        <w:rPr>
          <w:rFonts w:hint="eastAsia" w:ascii="宋体" w:hAnsi="宋体" w:cs="仿宋_GB2312"/>
          <w:sz w:val="24"/>
          <w:szCs w:val="24"/>
          <w:lang w:eastAsia="zh-Hans"/>
        </w:rPr>
        <w:t>。</w:t>
      </w:r>
    </w:p>
    <w:p>
      <w:pPr>
        <w:pStyle w:val="2"/>
        <w:adjustRightInd w:val="0"/>
        <w:snapToGrid w:val="0"/>
        <w:jc w:val="center"/>
        <w:rPr>
          <w:lang w:eastAsia="zh-Hans"/>
        </w:rPr>
      </w:pPr>
      <w:r>
        <w:drawing>
          <wp:inline distT="0" distB="0" distL="114300" distR="114300">
            <wp:extent cx="5267325" cy="3100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5301558" cy="3121158"/>
                    </a:xfrm>
                    <a:prstGeom prst="rect">
                      <a:avLst/>
                    </a:prstGeom>
                  </pic:spPr>
                </pic:pic>
              </a:graphicData>
            </a:graphic>
          </wp:inline>
        </w:drawing>
      </w:r>
    </w:p>
    <w:p>
      <w:pPr>
        <w:pStyle w:val="2"/>
        <w:adjustRightInd w:val="0"/>
        <w:snapToGrid w:val="0"/>
        <w:spacing w:line="400" w:lineRule="exact"/>
        <w:jc w:val="center"/>
        <w:rPr>
          <w:rFonts w:cs="仿宋_GB2312"/>
          <w:b/>
          <w:bCs/>
          <w:szCs w:val="24"/>
        </w:rPr>
      </w:pPr>
      <w:r>
        <w:rPr>
          <w:rFonts w:hint="eastAsia" w:cs="仿宋_GB2312"/>
          <w:b/>
          <w:bCs/>
          <w:szCs w:val="24"/>
        </w:rPr>
        <w:t>图9 易感模型搭建思路图</w:t>
      </w:r>
    </w:p>
    <w:p>
      <w:pPr>
        <w:pStyle w:val="2"/>
        <w:spacing w:line="400" w:lineRule="exact"/>
        <w:ind w:firstLine="480" w:firstLineChars="200"/>
        <w:rPr>
          <w:rFonts w:cs="仿宋_GB2312"/>
          <w:szCs w:val="24"/>
          <w:lang w:eastAsia="zh-Hans"/>
        </w:rPr>
      </w:pPr>
      <w:r>
        <w:rPr>
          <w:rFonts w:hint="eastAsia" w:cs="仿宋_GB2312"/>
          <w:szCs w:val="24"/>
          <w:lang w:eastAsia="zh-Hans"/>
        </w:rPr>
        <w:t>易感模型搭建详细步骤如下：</w:t>
      </w:r>
    </w:p>
    <w:p>
      <w:pPr>
        <w:pStyle w:val="2"/>
        <w:spacing w:line="400" w:lineRule="exact"/>
        <w:ind w:firstLine="482" w:firstLineChars="200"/>
        <w:rPr>
          <w:rFonts w:cs="仿宋_GB2312"/>
          <w:szCs w:val="24"/>
          <w:lang w:eastAsia="zh-Hans"/>
        </w:rPr>
      </w:pPr>
      <w:r>
        <w:rPr>
          <w:rFonts w:hint="eastAsia" w:cs="仿宋_GB2312"/>
          <w:b/>
          <w:szCs w:val="24"/>
          <w:lang w:eastAsia="zh-Hans"/>
        </w:rPr>
        <w:t>第一步</w:t>
      </w:r>
      <w:r>
        <w:rPr>
          <w:rFonts w:hint="eastAsia" w:cs="仿宋_GB2312"/>
          <w:b/>
          <w:szCs w:val="24"/>
        </w:rPr>
        <w:t>，</w:t>
      </w:r>
      <w:r>
        <w:rPr>
          <w:rFonts w:hint="eastAsia" w:cs="仿宋_GB2312"/>
          <w:szCs w:val="24"/>
          <w:lang w:eastAsia="zh-Hans"/>
        </w:rPr>
        <w:t>云深和阿里分别利用移动互联网的数据以及受害人样本结合机器学习方法搭建易感模型，</w:t>
      </w:r>
      <w:r>
        <w:rPr>
          <w:rFonts w:hint="eastAsia" w:cs="仿宋_GB2312"/>
          <w:szCs w:val="24"/>
        </w:rPr>
        <w:t>输出</w:t>
      </w:r>
      <w:r>
        <w:rPr>
          <w:rFonts w:hint="eastAsia" w:cs="仿宋_GB2312"/>
          <w:szCs w:val="24"/>
          <w:lang w:eastAsia="zh-Hans"/>
        </w:rPr>
        <w:t>宁波辖区易感群体，其中云深推送49万易感群体，阿里推送56万易感群体。</w:t>
      </w:r>
    </w:p>
    <w:p>
      <w:pPr>
        <w:pStyle w:val="5"/>
        <w:spacing w:line="400" w:lineRule="exact"/>
        <w:ind w:firstLine="482" w:firstLineChars="200"/>
        <w:rPr>
          <w:rFonts w:ascii="宋体" w:hAnsi="宋体" w:eastAsia="宋体" w:cs="仿宋_GB2312"/>
          <w:sz w:val="24"/>
          <w:szCs w:val="24"/>
          <w:lang w:eastAsia="zh-Hans"/>
        </w:rPr>
      </w:pPr>
      <w:r>
        <w:rPr>
          <w:rFonts w:hint="eastAsia" w:ascii="宋体" w:hAnsi="宋体" w:eastAsia="宋体" w:cs="仿宋_GB2312"/>
          <w:b/>
          <w:sz w:val="24"/>
          <w:szCs w:val="24"/>
          <w:lang w:eastAsia="zh-Hans"/>
        </w:rPr>
        <w:t>第二步</w:t>
      </w:r>
      <w:r>
        <w:rPr>
          <w:rFonts w:hint="eastAsia" w:ascii="宋体" w:hAnsi="宋体" w:eastAsia="宋体" w:cs="仿宋_GB2312"/>
          <w:b/>
          <w:sz w:val="24"/>
          <w:szCs w:val="24"/>
        </w:rPr>
        <w:t>，</w:t>
      </w:r>
      <w:r>
        <w:rPr>
          <w:rFonts w:hint="eastAsia" w:ascii="宋体" w:hAnsi="宋体" w:eastAsia="宋体" w:cs="仿宋_GB2312"/>
          <w:sz w:val="24"/>
          <w:szCs w:val="24"/>
          <w:lang w:eastAsia="zh-Hans"/>
        </w:rPr>
        <w:t>易感模型评价结果如表</w:t>
      </w:r>
      <w:r>
        <w:rPr>
          <w:rFonts w:hint="eastAsia" w:ascii="宋体" w:hAnsi="宋体" w:eastAsia="宋体" w:cs="仿宋_GB2312"/>
          <w:sz w:val="24"/>
          <w:szCs w:val="24"/>
        </w:rPr>
        <w:t>3</w:t>
      </w:r>
      <w:r>
        <w:rPr>
          <w:rFonts w:hint="eastAsia" w:ascii="宋体" w:hAnsi="宋体" w:eastAsia="宋体" w:cs="仿宋_GB2312"/>
          <w:sz w:val="24"/>
          <w:szCs w:val="24"/>
          <w:lang w:eastAsia="zh-Hans"/>
        </w:rPr>
        <w:t>，投资、刷单和贷款三类总共预警量为496,216，在宁波市21年7月-22年5月刷单、投资和贷款总案件量8307个中命中1626个案件，召回率为19.5%，准确率为0.328%。阿里易感模型评价结果如表</w:t>
      </w:r>
      <w:r>
        <w:rPr>
          <w:rFonts w:hint="eastAsia" w:ascii="宋体" w:hAnsi="宋体" w:eastAsia="宋体" w:cs="仿宋_GB2312"/>
          <w:sz w:val="24"/>
          <w:szCs w:val="24"/>
        </w:rPr>
        <w:t>4</w:t>
      </w:r>
      <w:r>
        <w:rPr>
          <w:rFonts w:hint="eastAsia" w:ascii="宋体" w:hAnsi="宋体" w:eastAsia="宋体" w:cs="仿宋_GB2312"/>
          <w:sz w:val="24"/>
          <w:szCs w:val="24"/>
          <w:lang w:eastAsia="zh-Hans"/>
        </w:rPr>
        <w:t>，阿里的总预警量为565,437，在总案件量18244个中命中2434个，召回率为13.34%，准确率为0.43%。对本地人口特征的重要性与权重分析如表</w:t>
      </w:r>
      <w:r>
        <w:rPr>
          <w:rFonts w:hint="eastAsia" w:ascii="宋体" w:hAnsi="宋体" w:eastAsia="宋体" w:cs="仿宋_GB2312"/>
          <w:sz w:val="24"/>
          <w:szCs w:val="24"/>
        </w:rPr>
        <w:t>5</w:t>
      </w:r>
      <w:r>
        <w:rPr>
          <w:rFonts w:hint="eastAsia" w:ascii="宋体" w:hAnsi="宋体" w:eastAsia="宋体" w:cs="仿宋_GB2312"/>
          <w:sz w:val="24"/>
          <w:szCs w:val="24"/>
          <w:lang w:eastAsia="zh-Hans"/>
        </w:rPr>
        <w:t>，在易感特征中本地特征数据也至关重要如户籍、学历、年龄和文化程度，通过发案比例和经验对不同特征的占比和权重进行赋分。</w:t>
      </w:r>
    </w:p>
    <w:p>
      <w:pPr>
        <w:pStyle w:val="2"/>
        <w:adjustRightInd w:val="0"/>
        <w:snapToGrid w:val="0"/>
        <w:spacing w:line="400" w:lineRule="exact"/>
        <w:jc w:val="center"/>
        <w:rPr>
          <w:rFonts w:cs="仿宋_GB2312"/>
          <w:b/>
          <w:bCs/>
          <w:szCs w:val="24"/>
        </w:rPr>
      </w:pPr>
      <w:r>
        <w:rPr>
          <w:rFonts w:hint="eastAsia" w:cs="仿宋_GB2312"/>
          <w:b/>
          <w:bCs/>
          <w:szCs w:val="24"/>
        </w:rPr>
        <w:t>表4云深易感模型预警效果评估</w:t>
      </w:r>
    </w:p>
    <w:p>
      <w:pPr>
        <w:adjustRightInd w:val="0"/>
        <w:snapToGrid w:val="0"/>
        <w:jc w:val="center"/>
      </w:pPr>
      <w:r>
        <w:object>
          <v:shape id="_x0000_i1027" o:spt="75" type="#_x0000_t75" style="height:102.75pt;width:412.5pt;" o:ole="t" filled="f" o:preferrelative="t" stroked="f" coordsize="21600,21600">
            <v:path/>
            <v:fill on="f" focussize="0,0"/>
            <v:stroke on="f" joinstyle="miter"/>
            <v:imagedata r:id="rId19" o:title=""/>
            <o:lock v:ext="edit" aspectratio="t"/>
            <w10:wrap type="none"/>
            <w10:anchorlock/>
          </v:shape>
          <o:OLEObject Type="Embed" ProgID="Excel.Sheet.12" ShapeID="_x0000_i1027" DrawAspect="Content" ObjectID="_1468075727" r:id="rId21">
            <o:LockedField>false</o:LockedField>
          </o:OLEObject>
        </w:object>
      </w:r>
    </w:p>
    <w:p>
      <w:pPr>
        <w:pStyle w:val="2"/>
        <w:adjustRightInd w:val="0"/>
        <w:snapToGrid w:val="0"/>
        <w:spacing w:line="400" w:lineRule="exact"/>
        <w:jc w:val="center"/>
        <w:rPr>
          <w:rFonts w:cs="仿宋_GB2312"/>
          <w:b/>
          <w:bCs/>
          <w:szCs w:val="24"/>
        </w:rPr>
      </w:pPr>
      <w:r>
        <w:rPr>
          <w:rFonts w:hint="eastAsia" w:cs="仿宋_GB2312"/>
          <w:b/>
          <w:bCs/>
          <w:szCs w:val="24"/>
        </w:rPr>
        <w:t>表5 投资类本地特征占比权重</w:t>
      </w:r>
    </w:p>
    <w:p>
      <w:pPr>
        <w:pStyle w:val="2"/>
        <w:adjustRightInd w:val="0"/>
        <w:snapToGrid w:val="0"/>
        <w:jc w:val="center"/>
        <w:rPr>
          <w:rFonts w:ascii="仿宋_GB2312" w:hAnsi="仿宋_GB2312" w:eastAsia="仿宋_GB2312" w:cs="仿宋_GB2312"/>
        </w:rPr>
      </w:pPr>
      <w:r>
        <w:object>
          <v:shape id="_x0000_i1028" o:spt="75" type="#_x0000_t75" style="height:250.5pt;width:190.5pt;" o:ole="t" filled="f" o:preferrelative="t" stroked="f" coordsize="21600,21600">
            <v:path/>
            <v:fill on="f" focussize="0,0"/>
            <v:stroke on="f" joinstyle="miter"/>
            <v:imagedata r:id="rId23" o:title=""/>
            <o:lock v:ext="edit" aspectratio="t"/>
            <w10:wrap type="none"/>
            <w10:anchorlock/>
          </v:shape>
          <o:OLEObject Type="Embed" ProgID="Excel.Sheet.12" ShapeID="_x0000_i1028" DrawAspect="Content" ObjectID="_1468075728" r:id="rId22">
            <o:LockedField>false</o:LockedField>
          </o:OLEObject>
        </w:object>
      </w:r>
    </w:p>
    <w:p>
      <w:pPr>
        <w:pStyle w:val="2"/>
        <w:spacing w:line="400" w:lineRule="exact"/>
        <w:ind w:firstLine="482" w:firstLineChars="200"/>
        <w:jc w:val="both"/>
        <w:rPr>
          <w:rFonts w:cs="仿宋_GB2312"/>
          <w:szCs w:val="24"/>
          <w:lang w:eastAsia="zh-Hans"/>
        </w:rPr>
      </w:pPr>
      <w:r>
        <w:rPr>
          <w:rFonts w:hint="eastAsia" w:cs="仿宋_GB2312"/>
          <w:b/>
          <w:szCs w:val="24"/>
          <w:lang w:eastAsia="zh-Hans"/>
        </w:rPr>
        <w:t>第三步</w:t>
      </w:r>
      <w:r>
        <w:rPr>
          <w:rFonts w:hint="eastAsia" w:cs="仿宋_GB2312"/>
          <w:b/>
          <w:szCs w:val="24"/>
        </w:rPr>
        <w:t>，</w:t>
      </w:r>
      <w:r>
        <w:rPr>
          <w:rFonts w:hint="eastAsia" w:cs="仿宋_GB2312"/>
          <w:szCs w:val="24"/>
          <w:lang w:eastAsia="zh-Hans"/>
        </w:rPr>
        <w:t>引入层次分析法对各端模型、特征融合建模。层次分析法如图4的主要特点是通过建立递阶层次结构, 把人类的判断转化到若干因素两两之间重要度的比较上, 从而把难于量化的定性判断转化为可操作的重 要度的比较上面。在许多情况下, 决策者可以直接使用AHP进行决策, 极大地提高了决策的有效性、可靠性和可行性, 但其本质是一种思维方式, 它把复杂问题分解成多个组成因素, 又将这些因素按支配关系分别形成递阶层次结构, 通过两两比较的方法确定决策方案相对重要度的总排序。整个过程体现了人类决策思维的基本特征，即分解、判断、综合，克服了其他方法回避决策者主观判断的缺点。</w:t>
      </w:r>
    </w:p>
    <w:p>
      <w:pPr>
        <w:adjustRightInd w:val="0"/>
        <w:snapToGrid w:val="0"/>
        <w:rPr>
          <w:lang w:eastAsia="zh-Hans"/>
        </w:rPr>
      </w:pPr>
      <w:r>
        <w:drawing>
          <wp:inline distT="0" distB="0" distL="114300" distR="114300">
            <wp:extent cx="5460365" cy="2477135"/>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rcRect t="4848" b="4219"/>
                    <a:stretch>
                      <a:fillRect/>
                    </a:stretch>
                  </pic:blipFill>
                  <pic:spPr>
                    <a:xfrm>
                      <a:off x="0" y="0"/>
                      <a:ext cx="5468795" cy="2481068"/>
                    </a:xfrm>
                    <a:prstGeom prst="rect">
                      <a:avLst/>
                    </a:prstGeom>
                    <a:ln>
                      <a:noFill/>
                    </a:ln>
                  </pic:spPr>
                </pic:pic>
              </a:graphicData>
            </a:graphic>
          </wp:inline>
        </w:drawing>
      </w:r>
    </w:p>
    <w:p>
      <w:pPr>
        <w:pStyle w:val="2"/>
        <w:adjustRightInd w:val="0"/>
        <w:snapToGrid w:val="0"/>
        <w:spacing w:line="400" w:lineRule="exact"/>
        <w:jc w:val="center"/>
        <w:rPr>
          <w:rFonts w:cs="仿宋_GB2312"/>
          <w:b/>
          <w:bCs/>
          <w:szCs w:val="24"/>
        </w:rPr>
      </w:pPr>
      <w:r>
        <w:rPr>
          <w:rFonts w:hint="eastAsia" w:cs="仿宋_GB2312"/>
          <w:b/>
          <w:bCs/>
          <w:szCs w:val="24"/>
        </w:rPr>
        <w:t>图10 层次分析法</w:t>
      </w:r>
    </w:p>
    <w:p>
      <w:pPr>
        <w:pStyle w:val="2"/>
        <w:spacing w:line="400" w:lineRule="exact"/>
        <w:ind w:firstLine="482" w:firstLineChars="200"/>
        <w:jc w:val="both"/>
        <w:rPr>
          <w:rFonts w:cs="仿宋_GB2312"/>
          <w:szCs w:val="24"/>
          <w:lang w:eastAsia="zh-Hans"/>
        </w:rPr>
      </w:pPr>
      <w:r>
        <w:rPr>
          <w:rFonts w:hint="eastAsia" w:cs="仿宋_GB2312"/>
          <w:b/>
          <w:szCs w:val="24"/>
          <w:lang w:eastAsia="zh-Hans"/>
        </w:rPr>
        <w:t>首先</w:t>
      </w:r>
      <w:r>
        <w:rPr>
          <w:rFonts w:hint="eastAsia" w:cs="仿宋_GB2312"/>
          <w:szCs w:val="24"/>
          <w:lang w:eastAsia="zh-Hans"/>
        </w:rPr>
        <w:t>构建层次分析评价指标：通过对各端数据的质量评估，从而构建7大权重指标，分别为云深易感模型结果等级分布、阿里易感模型结果等级分布、户籍情况、年龄情况、性别情况、学历情况和命中预警情况等。如表6。</w:t>
      </w:r>
    </w:p>
    <w:p>
      <w:pPr>
        <w:pStyle w:val="2"/>
        <w:adjustRightInd w:val="0"/>
        <w:snapToGrid w:val="0"/>
        <w:spacing w:line="400" w:lineRule="exact"/>
        <w:jc w:val="center"/>
        <w:rPr>
          <w:rFonts w:cs="仿宋_GB2312"/>
          <w:b/>
          <w:bCs/>
          <w:szCs w:val="24"/>
        </w:rPr>
      </w:pPr>
      <w:r>
        <w:rPr>
          <w:rFonts w:hint="eastAsia" w:cs="仿宋_GB2312"/>
          <w:b/>
          <w:bCs/>
          <w:szCs w:val="24"/>
        </w:rPr>
        <w:t xml:space="preserve">表6 层次分析评价指标 </w:t>
      </w:r>
    </w:p>
    <w:p>
      <w:pPr>
        <w:adjustRightInd w:val="0"/>
        <w:snapToGrid w:val="0"/>
        <w:jc w:val="center"/>
      </w:pPr>
      <w:r>
        <w:object>
          <v:shape id="_x0000_i1029" o:spt="75" type="#_x0000_t75" style="height:299.25pt;width:222pt;" o:ole="t" filled="f" o:preferrelative="t" stroked="f" coordsize="21600,21600">
            <v:path/>
            <v:fill on="f" focussize="0,0"/>
            <v:stroke on="f" joinstyle="miter"/>
            <v:imagedata r:id="rId26" o:title=""/>
            <o:lock v:ext="edit" aspectratio="t"/>
            <w10:wrap type="none"/>
            <w10:anchorlock/>
          </v:shape>
          <o:OLEObject Type="Embed" ProgID="Excel.Sheet.12" ShapeID="_x0000_i1029" DrawAspect="Content" ObjectID="_1468075729" r:id="rId25">
            <o:LockedField>false</o:LockedField>
          </o:OLEObject>
        </w:object>
      </w:r>
    </w:p>
    <w:p>
      <w:pPr>
        <w:pStyle w:val="2"/>
        <w:spacing w:line="400" w:lineRule="exact"/>
        <w:ind w:firstLine="482" w:firstLineChars="200"/>
        <w:jc w:val="both"/>
        <w:rPr>
          <w:rFonts w:cs="仿宋_GB2312"/>
          <w:szCs w:val="24"/>
          <w:lang w:eastAsia="zh-Hans"/>
        </w:rPr>
      </w:pPr>
      <w:r>
        <w:rPr>
          <w:rFonts w:hint="eastAsia" w:cs="仿宋_GB2312"/>
          <w:b/>
          <w:szCs w:val="24"/>
          <w:lang w:eastAsia="zh-Hans"/>
        </w:rPr>
        <w:t>其次是</w:t>
      </w:r>
      <w:r>
        <w:rPr>
          <w:rFonts w:hint="eastAsia" w:cs="仿宋_GB2312"/>
          <w:szCs w:val="24"/>
          <w:lang w:eastAsia="zh-Hans"/>
        </w:rPr>
        <w:t>构造判断矩阵以及列向量归一化：对已有的7个指标通过各指标要素结合互联数据和本地数据进行两两比较，判定两者的重要程度。并确定各准则层对目标层的权重。标度详情如表7。在构建完判断矩阵后，对每个特征进行打分，即每个单元格纵向归一。如表8。</w:t>
      </w:r>
    </w:p>
    <w:p>
      <w:pPr>
        <w:pStyle w:val="2"/>
        <w:adjustRightInd w:val="0"/>
        <w:snapToGrid w:val="0"/>
        <w:spacing w:line="400" w:lineRule="exact"/>
        <w:jc w:val="center"/>
        <w:rPr>
          <w:rFonts w:cs="仿宋_GB2312"/>
          <w:b/>
          <w:bCs/>
          <w:szCs w:val="24"/>
        </w:rPr>
      </w:pPr>
      <w:r>
        <w:rPr>
          <w:rFonts w:hint="eastAsia" w:cs="仿宋_GB2312"/>
          <w:b/>
          <w:bCs/>
          <w:szCs w:val="24"/>
        </w:rPr>
        <w:t>表7 标度详情</w:t>
      </w:r>
    </w:p>
    <w:p>
      <w:pPr>
        <w:adjustRightInd w:val="0"/>
        <w:snapToGrid w:val="0"/>
        <w:jc w:val="center"/>
        <w:rPr>
          <w:lang w:eastAsia="zh-Hans"/>
        </w:rPr>
      </w:pPr>
      <w:r>
        <w:object>
          <v:shape id="_x0000_i1030" o:spt="75" type="#_x0000_t75" style="height:160.5pt;width:340.5pt;" o:ole="t" filled="f" o:preferrelative="t" stroked="f" coordsize="21600,21600">
            <v:path/>
            <v:fill on="f" focussize="0,0"/>
            <v:stroke on="f" joinstyle="miter"/>
            <v:imagedata r:id="rId28" o:title=""/>
            <o:lock v:ext="edit" aspectratio="t"/>
            <w10:wrap type="none"/>
            <w10:anchorlock/>
          </v:shape>
          <o:OLEObject Type="Embed" ProgID="Excel.Sheet.12" ShapeID="_x0000_i1030" DrawAspect="Content" ObjectID="_1468075730" r:id="rId27">
            <o:LockedField>false</o:LockedField>
          </o:OLEObject>
        </w:object>
      </w:r>
    </w:p>
    <w:p>
      <w:pPr>
        <w:pStyle w:val="2"/>
        <w:adjustRightInd w:val="0"/>
        <w:snapToGrid w:val="0"/>
        <w:spacing w:line="400" w:lineRule="exact"/>
        <w:jc w:val="center"/>
        <w:rPr>
          <w:rFonts w:cs="仿宋_GB2312"/>
          <w:b/>
          <w:bCs/>
          <w:szCs w:val="24"/>
        </w:rPr>
      </w:pPr>
      <w:r>
        <w:rPr>
          <w:rFonts w:hint="eastAsia" w:cs="仿宋_GB2312"/>
          <w:b/>
          <w:bCs/>
          <w:szCs w:val="24"/>
        </w:rPr>
        <w:t>表8 层次分析法--贷款类</w:t>
      </w:r>
    </w:p>
    <w:p>
      <w:pPr>
        <w:widowControl/>
        <w:adjustRightInd w:val="0"/>
        <w:snapToGrid w:val="0"/>
        <w:rPr>
          <w:rFonts w:ascii="宋体" w:hAnsi="宋体" w:cs="仿宋_GB2312"/>
          <w:sz w:val="24"/>
          <w:szCs w:val="24"/>
        </w:rPr>
      </w:pPr>
      <w:r>
        <w:object>
          <v:shape id="_x0000_i1031" o:spt="75" type="#_x0000_t75" style="height:179.25pt;width:416.25pt;" o:ole="t" filled="f" o:preferrelative="t" stroked="f" coordsize="21600,21600">
            <v:path/>
            <v:fill on="f" focussize="0,0"/>
            <v:stroke on="f" joinstyle="miter"/>
            <v:imagedata r:id="rId30" o:title=""/>
            <o:lock v:ext="edit" aspectratio="t"/>
            <w10:wrap type="none"/>
            <w10:anchorlock/>
          </v:shape>
          <o:OLEObject Type="Embed" ProgID="Excel.Sheet.12" ShapeID="_x0000_i1031" DrawAspect="Content" ObjectID="_1468075731" r:id="rId29">
            <o:LockedField>false</o:LockedField>
          </o:OLEObject>
        </w:object>
      </w:r>
      <w:r>
        <w:t xml:space="preserve">   </w:t>
      </w:r>
      <w:r>
        <w:rPr>
          <w:rFonts w:hint="eastAsia" w:ascii="宋体" w:hAnsi="宋体" w:cs="仿宋_GB2312"/>
          <w:b/>
          <w:sz w:val="24"/>
          <w:szCs w:val="24"/>
          <w:lang w:eastAsia="zh-Hans"/>
        </w:rPr>
        <w:t>最后是</w:t>
      </w:r>
      <w:r>
        <w:rPr>
          <w:rFonts w:hint="eastAsia" w:ascii="宋体" w:hAnsi="宋体" w:cs="仿宋_GB2312"/>
          <w:sz w:val="24"/>
          <w:szCs w:val="24"/>
          <w:lang w:eastAsia="zh-Hans"/>
        </w:rPr>
        <w:t>对多维度指标融合赋分：通过层次分析法本地与互联网数据融合后，以贷款类为例如表9，贷款类案件高贡献度本地特征为户籍-市外，男性、文化程度大专及以下、和年龄19-30岁。贷款类案件高贡献度互联网数据为云深高风险和阿里高风险。</w:t>
      </w:r>
    </w:p>
    <w:p>
      <w:pPr>
        <w:pStyle w:val="2"/>
        <w:adjustRightInd w:val="0"/>
        <w:snapToGrid w:val="0"/>
        <w:spacing w:line="400" w:lineRule="exact"/>
        <w:jc w:val="center"/>
        <w:rPr>
          <w:rFonts w:cs="仿宋_GB2312"/>
          <w:b/>
          <w:bCs/>
          <w:szCs w:val="24"/>
        </w:rPr>
      </w:pPr>
      <w:r>
        <w:rPr>
          <w:rFonts w:hint="eastAsia" w:cs="仿宋_GB2312"/>
          <w:b/>
          <w:bCs/>
          <w:szCs w:val="24"/>
        </w:rPr>
        <w:t>表9 借贷类赋分情况</w:t>
      </w:r>
    </w:p>
    <w:p>
      <w:pPr>
        <w:adjustRightInd w:val="0"/>
        <w:snapToGrid w:val="0"/>
        <w:jc w:val="center"/>
        <w:rPr>
          <w:rFonts w:ascii="仿宋_GB2312" w:hAnsi="仿宋_GB2312" w:eastAsia="仿宋_GB2312" w:cs="仿宋_GB2312"/>
        </w:rPr>
      </w:pPr>
      <w:r>
        <w:object>
          <v:shape id="_x0000_i1032" o:spt="75" type="#_x0000_t75" style="height:261pt;width:204.75pt;" o:ole="t" filled="f" o:preferrelative="t" stroked="f" coordsize="21600,21600">
            <v:path/>
            <v:fill on="f" focussize="0,0"/>
            <v:stroke on="f" joinstyle="miter"/>
            <v:imagedata r:id="rId32" o:title=""/>
            <o:lock v:ext="edit" aspectratio="t"/>
            <w10:wrap type="none"/>
            <w10:anchorlock/>
          </v:shape>
          <o:OLEObject Type="Embed" ProgID="Excel.Sheet.12" ShapeID="_x0000_i1032" DrawAspect="Content" ObjectID="_1468075732" r:id="rId31">
            <o:LockedField>false</o:LockedField>
          </o:OLEObject>
        </w:object>
      </w:r>
    </w:p>
    <w:p>
      <w:pPr>
        <w:pStyle w:val="2"/>
        <w:spacing w:line="400" w:lineRule="exact"/>
        <w:ind w:firstLine="480" w:firstLineChars="200"/>
        <w:jc w:val="both"/>
        <w:rPr>
          <w:rFonts w:cs="仿宋_GB2312"/>
          <w:szCs w:val="24"/>
          <w:lang w:eastAsia="zh-Hans"/>
        </w:rPr>
      </w:pPr>
      <w:r>
        <w:rPr>
          <w:rFonts w:hint="eastAsia" w:cs="仿宋"/>
          <w:bCs/>
          <w:szCs w:val="24"/>
        </w:rPr>
        <w:t>（五）识别模型的验证。</w:t>
      </w:r>
      <w:r>
        <w:rPr>
          <w:rFonts w:hint="eastAsia" w:cs="仿宋_GB2312"/>
          <w:szCs w:val="24"/>
          <w:lang w:eastAsia="zh-Hans"/>
        </w:rPr>
        <w:t>通过层次分析法进行赋分之后，通过模型的评价指标对模型的效果进行验证。以借贷类易感模型为例如表10，对贷款类模型预测量为853,051，其中在借贷类案件总案件数1747中命中557个案件，即模型召回率为31.88%，其中被模型判定为高风险召回率为21.58%，精确率为0.221%。可以看到融合后的模型对比单一模型的效果有明显提升。</w:t>
      </w:r>
    </w:p>
    <w:p>
      <w:pPr>
        <w:pStyle w:val="2"/>
        <w:adjustRightInd w:val="0"/>
        <w:snapToGrid w:val="0"/>
        <w:spacing w:line="400" w:lineRule="exact"/>
        <w:jc w:val="center"/>
        <w:rPr>
          <w:rFonts w:cs="仿宋_GB2312"/>
          <w:b/>
          <w:bCs/>
          <w:szCs w:val="24"/>
        </w:rPr>
      </w:pPr>
      <w:r>
        <w:rPr>
          <w:rFonts w:hint="eastAsia" w:cs="仿宋_GB2312"/>
          <w:b/>
          <w:bCs/>
          <w:szCs w:val="24"/>
        </w:rPr>
        <w:t>表10 数据融合后模型评估--借贷</w:t>
      </w:r>
    </w:p>
    <w:p>
      <w:pPr>
        <w:adjustRightInd w:val="0"/>
        <w:snapToGrid w:val="0"/>
        <w:rPr>
          <w:rFonts w:ascii="宋体" w:hAnsi="宋体" w:cs="黑体"/>
          <w:sz w:val="24"/>
          <w:szCs w:val="24"/>
        </w:rPr>
      </w:pPr>
      <w:r>
        <w:rPr>
          <w:rFonts w:hint="eastAsia" w:ascii="仿宋_GB2312" w:hAnsi="仿宋_GB2312" w:eastAsia="仿宋_GB2312" w:cs="仿宋_GB2312"/>
          <w:sz w:val="32"/>
          <w:szCs w:val="32"/>
        </w:rPr>
        <w:object>
          <v:shape id="_x0000_i1033" o:spt="75" type="#_x0000_t75" style="height:93.75pt;width:417.75pt;" o:ole="t" filled="f" o:preferrelative="t" stroked="f" coordsize="21600,21600">
            <v:path/>
            <v:fill on="f" focussize="0,0"/>
            <v:stroke on="f" joinstyle="miter"/>
            <v:imagedata r:id="rId34" o:title=""/>
            <o:lock v:ext="edit" aspectratio="t"/>
            <w10:wrap type="none"/>
            <w10:anchorlock/>
          </v:shape>
          <o:OLEObject Type="Embed" ProgID="Excel.Sheet.12" ShapeID="_x0000_i1033" DrawAspect="Content" ObjectID="_1468075733" r:id="rId33">
            <o:LockedField>false</o:LockedField>
          </o:OLEObject>
        </w:object>
      </w:r>
      <w:r>
        <w:rPr>
          <w:rFonts w:ascii="仿宋_GB2312" w:hAnsi="仿宋_GB2312" w:eastAsia="仿宋_GB2312" w:cs="仿宋_GB2312"/>
          <w:sz w:val="32"/>
          <w:szCs w:val="32"/>
        </w:rPr>
        <w:t xml:space="preserve">   </w:t>
      </w:r>
      <w:r>
        <w:rPr>
          <w:rFonts w:hint="eastAsia" w:ascii="黑体" w:hAnsi="黑体" w:eastAsia="黑体" w:cs="黑体"/>
          <w:sz w:val="28"/>
          <w:szCs w:val="28"/>
        </w:rPr>
        <w:t>四、数字化精准预防模式与实现</w:t>
      </w:r>
    </w:p>
    <w:p>
      <w:pPr>
        <w:pStyle w:val="2"/>
        <w:spacing w:line="400" w:lineRule="exact"/>
        <w:ind w:firstLine="480" w:firstLineChars="200"/>
        <w:jc w:val="both"/>
        <w:rPr>
          <w:rFonts w:cs="仿宋_GB2312"/>
          <w:szCs w:val="24"/>
        </w:rPr>
      </w:pPr>
      <w:r>
        <w:rPr>
          <w:rFonts w:hint="eastAsia" w:cs="仿宋_GB2312"/>
          <w:szCs w:val="24"/>
        </w:rPr>
        <w:t>由于电信网络诈骗犯罪的复杂性、多样性和多变性，需要全社会的广泛参与，更需要各部门共同协同，主动履职，常态化开展宣防工作，才能真正实现全民反诈意识地提高，切实实现发案的下降。同时我们也深感反诈宣传需要明确各地各部门的职责范围，各区县镇街、职能部门和公安机关三者的关系亟需厘清，明确宣防工作的主攻方向。其中公安机关最主要是基于发案、受害人群变化的感知，利用公安机关数据能力优势，精准地刻画易感人群，及时将宣防重点人员传递至各区县、镇街，为各地各部门宣防工作提供培训和制定工作指引；各区县、镇街在开展普宣的基础上，围绕易感人群开展重点宣传，特别是组织好宣传力量，确保易感人员宣传落实到位；各职能部门就是做好本部门本单位内部人员的宣防工作，力争实现“零发案”，守好“小门”。由此形成完整的宣防体系，明确工作重点，压实主体责任，并以此开展工作成效评估。</w:t>
      </w:r>
    </w:p>
    <w:p>
      <w:pPr>
        <w:pStyle w:val="2"/>
        <w:spacing w:line="400" w:lineRule="exact"/>
        <w:ind w:firstLine="480" w:firstLineChars="200"/>
        <w:jc w:val="both"/>
        <w:rPr>
          <w:rFonts w:cs="仿宋_GB2312"/>
          <w:szCs w:val="24"/>
        </w:rPr>
      </w:pPr>
      <w:r>
        <w:rPr>
          <w:rFonts w:hint="eastAsia" w:cs="仿宋_GB2312"/>
          <w:szCs w:val="24"/>
        </w:rPr>
        <w:t>基于前文受害人群分析和易感人群模型搭建，结合宁波本地受害人年龄分布特点，我们将18-60岁作为重点分析的人群范围，并将全市财政供养人员、师生、医护、银行保险、运营商等行业工作人员从总人口中剥离，梳理出775万宁波实有人口。根据异常模型特征分析，从中发现70.3万易感人群及涉及重点诈骗类型。同时我们对该70.3万易感人群数据与2021年7月至2022年5月的受害人数据进行比对，发现覆盖率在25%的已发案件。如果能及时有效进行干预，能减少将近10-15%案件的发生（部分发案因数据发现较晚或工作原因无法及时开展）。</w:t>
      </w:r>
    </w:p>
    <w:p>
      <w:pPr>
        <w:spacing w:line="400" w:lineRule="exact"/>
        <w:ind w:firstLine="480" w:firstLineChars="200"/>
        <w:rPr>
          <w:rFonts w:ascii="宋体" w:hAnsi="宋体" w:cs="仿宋_GB2312"/>
          <w:kern w:val="0"/>
          <w:sz w:val="24"/>
          <w:szCs w:val="24"/>
        </w:rPr>
      </w:pPr>
      <w:r>
        <w:rPr>
          <w:rFonts w:hint="eastAsia" w:ascii="宋体" w:hAnsi="宋体" w:cs="仿宋_GB2312"/>
          <w:kern w:val="0"/>
          <w:sz w:val="24"/>
          <w:szCs w:val="24"/>
        </w:rPr>
        <w:t>为此，宁波在今年9月下旬对易感人群宣防工作进行了专项部署，将70.3万易感人群根据实际居住地逐一细化至各乡镇街道和社区，并对各类诈骗类型宣防制作了工作指引，要求属地组织力量根据宣传工作指引要求，对易感人员逐一开展面对面宣传，围绕易感人员主要可能涉及的诈骗类型手段和防范要点予以重点宣贯。经过近两个月的工作（10月1日至11月20日），我们共完成宣传45.23万人，其中经宣传干预仍被骗的117人，未开展干预被骗的98人，在此期间全市发案2813起，环比下降10.27%。从成案率看，易感人员干预后发案比为2.1，自然人群发案比为2.68，易感人员未干预成案比为3.9。由此可以发现易感人员受骗风险明显较高，且随着时间推移风险也随之增大，但经干预后可以实现低于自然人的风险水平。如果干预时间能大幅提前，减少案件发生的可能就越大。</w:t>
      </w:r>
    </w:p>
    <w:p>
      <w:pPr>
        <w:pStyle w:val="2"/>
        <w:adjustRightInd w:val="0"/>
        <w:snapToGrid w:val="0"/>
        <w:spacing w:line="400" w:lineRule="exact"/>
        <w:jc w:val="center"/>
        <w:rPr>
          <w:rFonts w:cs="仿宋_GB2312"/>
          <w:b/>
          <w:bCs/>
          <w:szCs w:val="24"/>
        </w:rPr>
      </w:pPr>
      <w:r>
        <w:rPr>
          <w:rFonts w:hint="eastAsia" w:cs="仿宋_GB2312"/>
          <w:b/>
          <w:bCs/>
          <w:szCs w:val="24"/>
        </w:rPr>
        <w:t>表11 两个月的工作统计表</w:t>
      </w:r>
    </w:p>
    <w:p>
      <w:pPr>
        <w:pStyle w:val="2"/>
        <w:adjustRightInd w:val="0"/>
        <w:snapToGrid w:val="0"/>
        <w:jc w:val="center"/>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5257800" cy="1818005"/>
            <wp:effectExtent l="0" t="0" r="0" b="0"/>
            <wp:docPr id="14" name="图片 14" descr="工作簿1_A2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作簿1_A2G8"/>
                    <pic:cNvPicPr>
                      <a:picLocks noChangeAspect="1"/>
                    </pic:cNvPicPr>
                  </pic:nvPicPr>
                  <pic:blipFill>
                    <a:blip r:embed="rId35"/>
                    <a:stretch>
                      <a:fillRect/>
                    </a:stretch>
                  </pic:blipFill>
                  <pic:spPr>
                    <a:xfrm>
                      <a:off x="0" y="0"/>
                      <a:ext cx="5258096" cy="1818167"/>
                    </a:xfrm>
                    <a:prstGeom prst="rect">
                      <a:avLst/>
                    </a:prstGeom>
                  </pic:spPr>
                </pic:pic>
              </a:graphicData>
            </a:graphic>
          </wp:inline>
        </w:drawing>
      </w:r>
    </w:p>
    <w:p>
      <w:pPr>
        <w:spacing w:line="404" w:lineRule="exact"/>
        <w:ind w:firstLine="480" w:firstLineChars="200"/>
        <w:rPr>
          <w:rFonts w:ascii="宋体" w:hAnsi="宋体" w:cs="仿宋_GB2312"/>
          <w:kern w:val="0"/>
          <w:sz w:val="24"/>
          <w:szCs w:val="24"/>
        </w:rPr>
      </w:pPr>
      <w:r>
        <w:rPr>
          <w:rFonts w:hint="eastAsia" w:ascii="宋体" w:hAnsi="宋体" w:cs="仿宋_GB2312"/>
          <w:kern w:val="0"/>
          <w:sz w:val="24"/>
          <w:szCs w:val="24"/>
        </w:rPr>
        <w:t>在推动易感人员精准宣传工作过程中，主动融入数字化改革，建立多跨协同工作平台，在公安端、政务端、互联网端实现数据共享、生产、下发、流转、反馈，对宣传工作设置首宣、复宣等，常态化对易感人员进行多手段、多轮次的宣传，真正地使易感人员能对防范知识入心入脑。同时将工作数据接入社会治理智治中心，实时掌握工作进度，建立宣防工作评估标准，开展工作成效评估晾晒。改变了以往工作部署需要层层传达，工作重点不突出，主体责任无法完全落实，成效较难进行评估的困局，推动社会治理能力智能化水平。</w:t>
      </w:r>
    </w:p>
    <w:p>
      <w:pPr>
        <w:pStyle w:val="2"/>
        <w:spacing w:line="404" w:lineRule="exact"/>
        <w:ind w:firstLine="480" w:firstLineChars="200"/>
        <w:jc w:val="both"/>
        <w:rPr>
          <w:rFonts w:cs="仿宋_GB2312"/>
          <w:szCs w:val="24"/>
        </w:rPr>
      </w:pPr>
      <w:r>
        <w:rPr>
          <w:rFonts w:hint="eastAsia" w:cs="仿宋_GB2312"/>
          <w:szCs w:val="24"/>
        </w:rPr>
        <w:t>当然，电信网络诈骗犯罪防控工作不能说仅靠精准宣防就能够实现整体案件压降的目标，还需要技术拦截封堵、预警劝阻、宣传氛围营造等多种手段措施多管齐下，相互补充，共同发挥作用。</w:t>
      </w:r>
    </w:p>
    <w:p>
      <w:pPr>
        <w:spacing w:before="93" w:beforeLines="30" w:after="93" w:afterLines="30" w:line="404" w:lineRule="exact"/>
        <w:ind w:firstLine="560" w:firstLineChars="200"/>
        <w:rPr>
          <w:rFonts w:ascii="黑体" w:hAnsi="黑体" w:eastAsia="黑体" w:cs="黑体"/>
          <w:sz w:val="28"/>
          <w:szCs w:val="28"/>
        </w:rPr>
      </w:pPr>
      <w:r>
        <w:rPr>
          <w:rFonts w:hint="eastAsia" w:ascii="黑体" w:hAnsi="黑体" w:eastAsia="黑体" w:cs="黑体"/>
          <w:sz w:val="28"/>
          <w:szCs w:val="28"/>
        </w:rPr>
        <w:t>五、数字化反诈模型的未来优化</w:t>
      </w:r>
    </w:p>
    <w:p>
      <w:pPr>
        <w:pStyle w:val="2"/>
        <w:spacing w:line="404" w:lineRule="exact"/>
        <w:ind w:firstLine="480" w:firstLineChars="200"/>
        <w:jc w:val="both"/>
        <w:rPr>
          <w:rFonts w:cs="仿宋_GB2312"/>
          <w:szCs w:val="24"/>
        </w:rPr>
      </w:pPr>
      <w:r>
        <w:rPr>
          <w:rFonts w:hint="eastAsia" w:cs="仿宋_GB2312"/>
          <w:szCs w:val="24"/>
        </w:rPr>
        <w:t>易感人员异常特征识别模型构建及精准宣防，是公安业务发挥大脑中枢作用，向社会治理延伸的主动探索，由被动向主动、粗放向精细、盲目向精准的转变，实现预测、预警、预防职能作用，推动公安工作整体智治。但在工作中，我们也发现存在若干问题，需要在后续工作中不断完善优化。</w:t>
      </w:r>
    </w:p>
    <w:p>
      <w:pPr>
        <w:pStyle w:val="2"/>
        <w:spacing w:line="404" w:lineRule="exact"/>
        <w:ind w:firstLine="480" w:firstLineChars="200"/>
        <w:jc w:val="both"/>
        <w:rPr>
          <w:rFonts w:cs="仿宋_GB2312"/>
          <w:szCs w:val="24"/>
        </w:rPr>
      </w:pPr>
      <w:r>
        <w:rPr>
          <w:rFonts w:hint="eastAsia" w:cs="仿宋_GB2312"/>
          <w:szCs w:val="24"/>
        </w:rPr>
        <w:t>一是人口覆盖率问题。由于人口流动频繁，对人口数据监测带来了较大困难，人口数据鲜活度不够，对新入人口宣防干预存在一定滞后性，也影响数据评估的精准性。同时需要结合基层人口登记数据进行及时收集，也可通过运营商对新入人口进行模型统计。</w:t>
      </w:r>
    </w:p>
    <w:p>
      <w:pPr>
        <w:pStyle w:val="2"/>
        <w:spacing w:line="404" w:lineRule="exact"/>
        <w:ind w:firstLine="480" w:firstLineChars="200"/>
        <w:jc w:val="both"/>
        <w:rPr>
          <w:rFonts w:cs="仿宋_GB2312"/>
          <w:szCs w:val="24"/>
        </w:rPr>
      </w:pPr>
      <w:r>
        <w:rPr>
          <w:rFonts w:hint="eastAsia" w:cs="仿宋_GB2312"/>
          <w:szCs w:val="24"/>
        </w:rPr>
        <w:t>二是数据丰富程度问题。一方面是易感人员异常特征的发现数据还不够丰富，如有更多互联网企业的参与，充分利用各自数据特点和优势，易感人员识别的精准度和覆盖率将更高，数据量也会相应减少。另一方面是本地人口学历、职业、收入等高价值参数无法有效收集，对人口分层和模型参数设置造成一定影响。</w:t>
      </w:r>
    </w:p>
    <w:p>
      <w:pPr>
        <w:pStyle w:val="2"/>
        <w:spacing w:line="400" w:lineRule="exact"/>
        <w:ind w:firstLine="480" w:firstLineChars="200"/>
        <w:jc w:val="both"/>
        <w:rPr>
          <w:rFonts w:cs="仿宋_GB2312"/>
          <w:szCs w:val="24"/>
        </w:rPr>
      </w:pPr>
      <w:r>
        <w:rPr>
          <w:rFonts w:hint="eastAsia" w:cs="仿宋_GB2312"/>
          <w:szCs w:val="24"/>
        </w:rPr>
        <w:t>三是模型输出机制问题。随着诈骗手段、技术的变化，诈骗受害群体特征也随之变化，对模型参数也需及时调整，比如今年3月开始男性被骗比例逐步上升，历史以来第一次超过女性。另外通过模型输出易感人员数据的时间节点也需进行评估分析，如一年产出一次，对宣防工作来说及时性不够，也会导致数据量太大，对宣防的质量造成影响。目前考虑每月对新入人口数据进行推送分析，发现易感人员，力争每月输出2-3万易感人员；每季度对模型进行评估，适当调整模型；每半年对受骗人群和特征进行复盘，开展全量分析，弥补漏洞。</w:t>
      </w:r>
    </w:p>
    <w:p>
      <w:pPr>
        <w:pStyle w:val="2"/>
        <w:spacing w:line="400" w:lineRule="exact"/>
        <w:ind w:firstLine="480" w:firstLineChars="200"/>
        <w:jc w:val="both"/>
        <w:rPr>
          <w:rFonts w:cs="仿宋_GB2312"/>
          <w:szCs w:val="24"/>
        </w:rPr>
      </w:pPr>
      <w:r>
        <w:rPr>
          <w:rFonts w:hint="eastAsia" w:cs="仿宋_GB2312"/>
          <w:szCs w:val="24"/>
        </w:rPr>
        <w:t>四是宣防工作机制固化问题。虽然易感人群宣防工作已结合数字化改革工作，贯穿至基层镇街、村社，但这项工作不同于基层网格事件核查和上报，需要宣防人员对电诈工作和诈骗类型有较为详细地了解，工作中要求相对更高。前期也发现部分地区或工作人员存在应付了事，或者没有按照工作指引要求开展工作，干预不够到位，导致案件发生。为此，要抓好宣传队伍建设，强化宣传员的上岗和定期培训，以及相关的奖惩措施，确保工作落实到位。同时不断完善工作平台，流转操作更加简易快速，提高效率。</w:t>
      </w:r>
    </w:p>
    <w:p>
      <w:pPr>
        <w:pStyle w:val="12"/>
        <w:spacing w:after="0" w:line="400" w:lineRule="exact"/>
        <w:ind w:firstLine="480"/>
        <w:rPr>
          <w:sz w:val="24"/>
        </w:rPr>
      </w:pPr>
    </w:p>
    <w:p>
      <w:pPr>
        <w:pStyle w:val="12"/>
        <w:spacing w:after="0" w:line="400" w:lineRule="exact"/>
        <w:ind w:firstLine="480"/>
        <w:rPr>
          <w:rFonts w:hint="eastAsia"/>
          <w:sz w:val="24"/>
        </w:rPr>
      </w:pPr>
    </w:p>
    <w:p>
      <w:pPr>
        <w:pStyle w:val="12"/>
        <w:spacing w:after="0" w:line="400" w:lineRule="exact"/>
        <w:ind w:firstLine="480"/>
        <w:rPr>
          <w:sz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382270</wp:posOffset>
                </wp:positionH>
                <wp:positionV relativeFrom="paragraph">
                  <wp:posOffset>151765</wp:posOffset>
                </wp:positionV>
                <wp:extent cx="1800225"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180000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1pt;margin-top:11.95pt;height:0pt;width:141.75pt;z-index:251659264;mso-width-relative:page;mso-height-relative:page;" filled="f" stroked="t" coordsize="21600,21600" o:gfxdata="UEsDBAoAAAAAAIdO4kAAAAAAAAAAAAAAAAAEAAAAZHJzL1BLAwQUAAAACACHTuJAQacNHNYAAAAI&#10;AQAADwAAAGRycy9kb3ducmV2LnhtbE2PzU7DMBCE70i8g7VIXFBrN0H9CXEqhNQLNwoScNvGSxJh&#10;ryPbbcPbY8QBjrMzmvm23k7OihOFOHjWsJgrEMStNwN3Gl6ed7M1iJiQDVrPpOGLImyby4saK+PP&#10;/ESnfepELuFYoYY+pbGSMrY9OYxzPxJn78MHhynL0EkT8JzLnZWFUkvpcOC80ONIDz21n/uj03BT&#10;ps3r27h7X5vC+vtA6XFyRuvrq4W6A5FoSn9h+MHP6NBkpoM/sonCaliqIic1FOUGRPbL23IF4vB7&#10;kE0t/z/QfANQSwMEFAAAAAgAh07iQBKI2Pn5AQAA6QMAAA4AAABkcnMvZTJvRG9jLnhtbK1Ty47T&#10;MBTdI/EPlvc06TADQ9R0FlMNGx6VgA9wHTux5Jd83ab9CX4AiR2sWLLnbxg+g2s77cCwmQWJ5Nj3&#10;ce49xzeLq73RZCcCKGdbOp/VlAjLXads39IP72+eXFICkdmOaWdFSw8C6NXy8aPF6Btx5ganOxEI&#10;glhoRt/SIUbfVBXwQRgGM+eFRad0wbCIx9BXXWAjohtdndX1s2p0ofPBcQGA1lVx0gkxPATQSam4&#10;WDm+NcLGghqEZhEpwaA80GXuVkrB41spQUSiW4pMY16xCO43aa2WC9b0gflB8akF9pAW7nEyTFks&#10;eoJascjINqh/oIziwYGTccadqQqRrAiymNf3tHk3MC8yF5Qa/El0+H+w/M1uHYjqWnpOiWUGL/z2&#10;0/efH7/8+vEZ19tvX8l5Emn00GDstV2H6QR+HRLjvQwmfZEL2WdhDydhxT4Sjsb5ZZ0eSvjRV90l&#10;+gDxpXCGpE1LtbKJM2vY7hVELIahx5Bktu5GaZ3vTVsytvTp/PkFIjOcRYkzgFvjkQ/YnhKmexxy&#10;HkNGBKdVl7ITDoR+c60D2bE0Gqv05iC9Na9dV8wvLlLXpdbW4CQV89GKnU0oucu/4FPLKwZDyciu&#10;AmRUxP9HK9PSSZXCUVsESTIXYdNu47pD1jvbcQJymWla04j9ec7Zd3/o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pw0c1gAAAAgBAAAPAAAAAAAAAAEAIAAAACIAAABkcnMvZG93bnJldi54bWxQ&#10;SwECFAAUAAAACACHTuJAEojY+fkBAADpAwAADgAAAAAAAAABACAAAAAlAQAAZHJzL2Uyb0RvYy54&#10;bWxQSwUGAAAAAAYABgBZAQAAkAUAAAAA&#10;">
                <v:fill on="f" focussize="0,0"/>
                <v:stroke weight="0.25pt" color="#0D0D0D [3069]" miterlimit="8" joinstyle="miter"/>
                <v:imagedata o:title=""/>
                <o:lock v:ext="edit" aspectratio="f"/>
              </v:line>
            </w:pict>
          </mc:Fallback>
        </mc:AlternateContent>
      </w:r>
    </w:p>
    <w:p>
      <w:pPr>
        <w:widowControl/>
        <w:adjustRightInd w:val="0"/>
        <w:snapToGrid w:val="0"/>
        <w:spacing w:line="400" w:lineRule="exact"/>
        <w:ind w:firstLine="480" w:firstLineChars="200"/>
        <w:jc w:val="left"/>
        <w:rPr>
          <w:rFonts w:ascii="楷体" w:hAnsi="楷体" w:eastAsia="楷体"/>
          <w:color w:val="000000"/>
          <w:sz w:val="24"/>
          <w:szCs w:val="24"/>
          <w:lang w:eastAsia="zh-Hans"/>
        </w:rPr>
      </w:pPr>
    </w:p>
    <w:p>
      <w:pPr>
        <w:spacing w:before="93" w:beforeLines="30" w:after="93" w:afterLines="30" w:line="400" w:lineRule="exact"/>
        <w:ind w:firstLine="560" w:firstLineChars="200"/>
        <w:outlineLvl w:val="0"/>
        <w:rPr>
          <w:rFonts w:ascii="黑体" w:hAnsi="黑体" w:eastAsia="黑体"/>
          <w:sz w:val="28"/>
          <w:szCs w:val="28"/>
        </w:rPr>
      </w:pPr>
      <w:r>
        <w:rPr>
          <w:rFonts w:hint="eastAsia" w:ascii="黑体" w:hAnsi="黑体" w:eastAsia="黑体" w:cs="黑体"/>
          <w:sz w:val="28"/>
          <w:szCs w:val="28"/>
        </w:rPr>
        <w:t>参考文献</w:t>
      </w:r>
    </w:p>
    <w:p>
      <w:pPr>
        <w:ind w:left="315" w:hanging="315" w:hangingChars="150"/>
        <w:rPr>
          <w:rFonts w:ascii="楷体" w:hAnsi="楷体" w:eastAsia="楷体"/>
        </w:rPr>
      </w:pPr>
      <w:r>
        <w:rPr>
          <w:rFonts w:hint="eastAsia" w:ascii="楷体" w:hAnsi="楷体" w:eastAsia="楷体"/>
        </w:rPr>
        <w:t>[1]习近平.不断做强做优做大我国数字经济[J].求是，2022（2）</w:t>
      </w:r>
    </w:p>
    <w:p>
      <w:pPr>
        <w:ind w:left="315" w:hanging="315" w:hangingChars="150"/>
        <w:rPr>
          <w:rFonts w:ascii="楷体" w:hAnsi="楷体" w:eastAsia="楷体"/>
        </w:rPr>
      </w:pPr>
      <w:r>
        <w:rPr>
          <w:rFonts w:hint="eastAsia" w:ascii="楷体" w:hAnsi="楷体" w:eastAsia="楷体"/>
        </w:rPr>
        <w:t>[2]谢佳，甘露，杭州：智慧公安“打造”精准警务[N].人民公安报，2019-11-05（003）</w:t>
      </w:r>
    </w:p>
    <w:p>
      <w:pPr>
        <w:pStyle w:val="2"/>
        <w:ind w:left="315" w:hanging="315" w:hangingChars="150"/>
        <w:jc w:val="both"/>
        <w:rPr>
          <w:rFonts w:ascii="楷体" w:hAnsi="楷体" w:eastAsia="楷体"/>
          <w:sz w:val="21"/>
        </w:rPr>
      </w:pPr>
      <w:r>
        <w:rPr>
          <w:rFonts w:hint="eastAsia" w:ascii="楷体" w:hAnsi="楷体" w:eastAsia="楷体" w:cs="Times New Roman"/>
          <w:kern w:val="2"/>
          <w:sz w:val="21"/>
        </w:rPr>
        <w:t>[3]李亚可，我国电信网络诈骗犯罪的态势特征及打击思路探析</w:t>
      </w:r>
      <w:r>
        <w:rPr>
          <w:rFonts w:hint="eastAsia" w:ascii="楷体" w:hAnsi="楷体" w:eastAsia="楷体"/>
          <w:sz w:val="21"/>
        </w:rPr>
        <w:t>[J].浙江警察学院学报，2022（2）:34-40</w:t>
      </w:r>
    </w:p>
    <w:p>
      <w:pPr>
        <w:ind w:left="315" w:hanging="315" w:hangingChars="150"/>
        <w:rPr>
          <w:rFonts w:ascii="楷体" w:hAnsi="楷体" w:eastAsia="楷体"/>
        </w:rPr>
      </w:pPr>
      <w:r>
        <w:rPr>
          <w:rFonts w:hint="eastAsia" w:ascii="楷体" w:hAnsi="楷体" w:eastAsia="楷体"/>
        </w:rPr>
        <w:t>[4]赵学军，实证视野下网络诈骗犯罪的特点分析及司法应对[J].海南大学学报（人文社会科学版），2019（1）：114-123</w:t>
      </w:r>
    </w:p>
    <w:p>
      <w:pPr>
        <w:pStyle w:val="2"/>
        <w:ind w:left="315" w:hanging="315" w:hangingChars="150"/>
        <w:jc w:val="both"/>
        <w:rPr>
          <w:rFonts w:ascii="楷体" w:hAnsi="楷体" w:eastAsia="楷体"/>
          <w:sz w:val="21"/>
        </w:rPr>
      </w:pPr>
      <w:r>
        <w:rPr>
          <w:rFonts w:hint="eastAsia" w:ascii="楷体" w:hAnsi="楷体" w:eastAsia="楷体" w:cs="Times New Roman"/>
          <w:kern w:val="2"/>
          <w:sz w:val="21"/>
        </w:rPr>
        <w:t>[</w:t>
      </w:r>
      <w:r>
        <w:rPr>
          <w:rFonts w:hint="eastAsia" w:ascii="楷体" w:hAnsi="楷体" w:eastAsia="楷体"/>
          <w:sz w:val="21"/>
        </w:rPr>
        <w:t>5</w:t>
      </w:r>
      <w:r>
        <w:rPr>
          <w:rFonts w:hint="eastAsia" w:ascii="楷体" w:hAnsi="楷体" w:eastAsia="楷体" w:cs="Times New Roman"/>
          <w:kern w:val="2"/>
          <w:sz w:val="21"/>
        </w:rPr>
        <w:t>]王枫梧，网络犯罪治理的问题及对策研究</w:t>
      </w:r>
      <w:r>
        <w:rPr>
          <w:rFonts w:ascii="楷体" w:hAnsi="楷体" w:eastAsia="楷体" w:cs="Times New Roman"/>
          <w:kern w:val="2"/>
          <w:sz w:val="21"/>
        </w:rPr>
        <w:t>—</w:t>
      </w:r>
      <w:r>
        <w:rPr>
          <w:rFonts w:hint="eastAsia" w:ascii="楷体" w:hAnsi="楷体" w:eastAsia="楷体" w:cs="Times New Roman"/>
          <w:kern w:val="2"/>
          <w:sz w:val="21"/>
        </w:rPr>
        <w:t>以公安机关为视角</w:t>
      </w:r>
      <w:r>
        <w:rPr>
          <w:rFonts w:hint="eastAsia" w:ascii="楷体" w:hAnsi="楷体" w:eastAsia="楷体"/>
          <w:sz w:val="21"/>
        </w:rPr>
        <w:t>[J]，浙江警察学院学报，2021（3）:88-97</w:t>
      </w:r>
    </w:p>
    <w:sectPr>
      <w:headerReference r:id="rId4" w:type="default"/>
      <w:headerReference r:id="rId5" w:type="even"/>
      <w:pgSz w:w="11906" w:h="16838"/>
      <w:pgMar w:top="1701" w:right="1797" w:bottom="1701" w:left="1797" w:header="170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F8BA41-B382-4B6D-9898-E44F9EF7B50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Verdana"/>
    <w:panose1 w:val="00000000000000000000"/>
    <w:charset w:val="00"/>
    <w:family w:val="roman"/>
    <w:pitch w:val="default"/>
    <w:sig w:usb0="00000000" w:usb1="00000000" w:usb2="00000008" w:usb3="00000000" w:csb0="000001FF" w:csb1="00000000"/>
  </w:font>
  <w:font w:name="方正黑体_GBK">
    <w:altName w:val="微软雅黑"/>
    <w:panose1 w:val="03000509000000000000"/>
    <w:charset w:val="86"/>
    <w:family w:val="script"/>
    <w:pitch w:val="default"/>
    <w:sig w:usb0="00000000" w:usb1="00000000" w:usb2="00000010" w:usb3="00000000" w:csb0="00040000" w:csb1="00000000"/>
  </w:font>
  <w:font w:name="方正大标宋_GBK">
    <w:panose1 w:val="03000509000000000000"/>
    <w:charset w:val="86"/>
    <w:family w:val="script"/>
    <w:pitch w:val="default"/>
    <w:sig w:usb0="00000001" w:usb1="080E0000" w:usb2="00000000" w:usb3="00000000" w:csb0="00040000" w:csb1="00000000"/>
    <w:embedRegular r:id="rId2" w:fontKey="{903A72E4-BE74-49C1-A90C-64A61D5E5E6B}"/>
  </w:font>
  <w:font w:name="楷体">
    <w:panose1 w:val="02010609060101010101"/>
    <w:charset w:val="86"/>
    <w:family w:val="modern"/>
    <w:pitch w:val="default"/>
    <w:sig w:usb0="800002BF" w:usb1="38CF7CFA" w:usb2="00000016" w:usb3="00000000" w:csb0="00040001" w:csb1="00000000"/>
    <w:embedRegular r:id="rId3" w:fontKey="{C23A6437-D22B-4278-AC9D-0D470371D432}"/>
  </w:font>
  <w:font w:name="仿宋_GB2312">
    <w:panose1 w:val="02010609030101010101"/>
    <w:charset w:val="86"/>
    <w:family w:val="modern"/>
    <w:pitch w:val="default"/>
    <w:sig w:usb0="00000001" w:usb1="080E0000" w:usb2="00000000" w:usb3="00000000" w:csb0="00040000" w:csb1="00000000"/>
    <w:embedRegular r:id="rId4" w:fontKey="{1B46DEC6-0E7C-42F1-B3B2-35D9FCE818F0}"/>
  </w:font>
  <w:font w:name="方正仿宋_GB2312">
    <w:altName w:val="仿宋"/>
    <w:panose1 w:val="00000000000000000000"/>
    <w:charset w:val="86"/>
    <w:family w:val="auto"/>
    <w:pitch w:val="default"/>
    <w:sig w:usb0="00000000" w:usb1="00000000" w:usb2="00000012" w:usb3="00000000" w:csb0="00040001" w:csb1="00000000"/>
    <w:embedRegular r:id="rId5" w:fontKey="{31A1708F-207E-4101-9EC3-EFFA8CECB620}"/>
  </w:font>
  <w:font w:name="仿宋">
    <w:panose1 w:val="02010609060101010101"/>
    <w:charset w:val="86"/>
    <w:family w:val="modern"/>
    <w:pitch w:val="default"/>
    <w:sig w:usb0="800002BF" w:usb1="38CF7CFA" w:usb2="00000016" w:usb3="00000000" w:csb0="00040001" w:csb1="00000000"/>
    <w:embedRegular r:id="rId6" w:fontKey="{0648F664-7ACD-47B6-9C44-FA19B1CAAF9F}"/>
  </w:font>
  <w:font w:name="楷体_GB2312">
    <w:panose1 w:val="02010609030101010101"/>
    <w:charset w:val="86"/>
    <w:family w:val="modern"/>
    <w:pitch w:val="default"/>
    <w:sig w:usb0="00000001" w:usb1="080E0000" w:usb2="00000000" w:usb3="00000000" w:csb0="00040000" w:csb1="00000000"/>
    <w:embedRegular r:id="rId7" w:fontKey="{87A6C552-2395-4FC2-AF9D-7D4C48F0187D}"/>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0"/>
        <w:ind w:left="420" w:leftChars="200"/>
        <w:rPr>
          <w:rFonts w:ascii="楷体" w:hAnsi="楷体" w:eastAsia="楷体"/>
          <w:sz w:val="21"/>
        </w:rPr>
      </w:pPr>
      <w:r>
        <w:rPr>
          <w:rFonts w:hint="eastAsia" w:ascii="楷体" w:hAnsi="楷体" w:eastAsia="楷体"/>
          <w:sz w:val="21"/>
        </w:rPr>
        <w:t xml:space="preserve">夏 </w:t>
      </w:r>
      <w:r>
        <w:rPr>
          <w:rFonts w:ascii="楷体" w:hAnsi="楷体" w:eastAsia="楷体"/>
          <w:sz w:val="21"/>
        </w:rPr>
        <w:t xml:space="preserve"> </w:t>
      </w:r>
      <w:r>
        <w:rPr>
          <w:rFonts w:hint="eastAsia" w:ascii="楷体" w:hAnsi="楷体" w:eastAsia="楷体"/>
          <w:sz w:val="21"/>
        </w:rPr>
        <w:t>琳：宁波市公安局新型犯罪侦查支队支队长。</w:t>
      </w:r>
    </w:p>
    <w:p>
      <w:pPr>
        <w:pStyle w:val="10"/>
        <w:ind w:left="420" w:leftChars="200"/>
        <w:rPr>
          <w:rFonts w:ascii="楷体" w:hAnsi="楷体" w:eastAsia="楷体"/>
          <w:sz w:val="21"/>
        </w:rPr>
      </w:pPr>
      <w:r>
        <w:rPr>
          <w:rFonts w:hint="eastAsia" w:ascii="楷体" w:hAnsi="楷体" w:eastAsia="楷体"/>
          <w:sz w:val="21"/>
        </w:rPr>
        <w:t>程亮杰：宁波市公安局新型犯罪侦查支队副大队长。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adjustRightInd w:val="0"/>
      <w:snapToGrid w:val="0"/>
      <w:spacing w:after="48" w:afterLines="20"/>
      <w:jc w:val="right"/>
    </w:pPr>
    <w:r>
      <w:rPr>
        <w:rFonts w:hint="eastAsia" w:ascii="楷体" w:hAnsi="楷体" w:eastAsia="楷体" w:cstheme="minorBidi"/>
      </w:rPr>
      <w:t>新型诈骗易感人群异常特征识别模型与精准预防应用研究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adjustRightInd w:val="0"/>
      <w:snapToGrid w:val="0"/>
      <w:spacing w:after="48" w:afterLines="20"/>
      <w:jc w:val="left"/>
    </w:pPr>
    <w:r>
      <w:rPr>
        <w:rFonts w:hint="eastAsia" w:ascii="楷体" w:hAnsi="楷体" w:eastAsia="楷体" w:cstheme="minorBidi"/>
      </w:rPr>
      <w:t>新型诈骗易感人群异常特征识别模型与精准预防应用研究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mYjYxNWI0YzdiODE4MDM5YTdlZWQxNGI5YzM4YzgifQ=="/>
  </w:docVars>
  <w:rsids>
    <w:rsidRoot w:val="006121F6"/>
    <w:rsid w:val="000007F4"/>
    <w:rsid w:val="00001872"/>
    <w:rsid w:val="0000727B"/>
    <w:rsid w:val="00011C3B"/>
    <w:rsid w:val="00015EC7"/>
    <w:rsid w:val="000171A1"/>
    <w:rsid w:val="00021D54"/>
    <w:rsid w:val="00023E1D"/>
    <w:rsid w:val="000329EE"/>
    <w:rsid w:val="00036550"/>
    <w:rsid w:val="00036F18"/>
    <w:rsid w:val="000448D6"/>
    <w:rsid w:val="00073469"/>
    <w:rsid w:val="00075824"/>
    <w:rsid w:val="0007720D"/>
    <w:rsid w:val="000778DB"/>
    <w:rsid w:val="000877CF"/>
    <w:rsid w:val="0009165A"/>
    <w:rsid w:val="00093309"/>
    <w:rsid w:val="00096822"/>
    <w:rsid w:val="000A651B"/>
    <w:rsid w:val="000A6E88"/>
    <w:rsid w:val="000B4EE9"/>
    <w:rsid w:val="000B5C9C"/>
    <w:rsid w:val="000D5DFD"/>
    <w:rsid w:val="000D6337"/>
    <w:rsid w:val="000F40CB"/>
    <w:rsid w:val="000F6A8D"/>
    <w:rsid w:val="00120034"/>
    <w:rsid w:val="00123121"/>
    <w:rsid w:val="00127B60"/>
    <w:rsid w:val="00131404"/>
    <w:rsid w:val="00135979"/>
    <w:rsid w:val="00136BA0"/>
    <w:rsid w:val="00136F7C"/>
    <w:rsid w:val="0015225F"/>
    <w:rsid w:val="001702A3"/>
    <w:rsid w:val="00175265"/>
    <w:rsid w:val="00176761"/>
    <w:rsid w:val="00181A46"/>
    <w:rsid w:val="001900AC"/>
    <w:rsid w:val="00192BD1"/>
    <w:rsid w:val="00193999"/>
    <w:rsid w:val="001B2474"/>
    <w:rsid w:val="001B3116"/>
    <w:rsid w:val="001B63E5"/>
    <w:rsid w:val="001B6E6D"/>
    <w:rsid w:val="001C75A7"/>
    <w:rsid w:val="001D03CE"/>
    <w:rsid w:val="001D2B7B"/>
    <w:rsid w:val="001D74F3"/>
    <w:rsid w:val="001F5B1E"/>
    <w:rsid w:val="002031F0"/>
    <w:rsid w:val="0020424E"/>
    <w:rsid w:val="00220CD7"/>
    <w:rsid w:val="00234D6E"/>
    <w:rsid w:val="00235CD3"/>
    <w:rsid w:val="00242848"/>
    <w:rsid w:val="00251064"/>
    <w:rsid w:val="002614DD"/>
    <w:rsid w:val="00275888"/>
    <w:rsid w:val="00283FB5"/>
    <w:rsid w:val="00294209"/>
    <w:rsid w:val="00296646"/>
    <w:rsid w:val="002A2713"/>
    <w:rsid w:val="002A4F1F"/>
    <w:rsid w:val="002B2E3E"/>
    <w:rsid w:val="002C1405"/>
    <w:rsid w:val="002C48AC"/>
    <w:rsid w:val="002E34AF"/>
    <w:rsid w:val="002F4906"/>
    <w:rsid w:val="003034E4"/>
    <w:rsid w:val="00307F2F"/>
    <w:rsid w:val="003135A8"/>
    <w:rsid w:val="00317735"/>
    <w:rsid w:val="00321681"/>
    <w:rsid w:val="00321A79"/>
    <w:rsid w:val="00323A31"/>
    <w:rsid w:val="00327F51"/>
    <w:rsid w:val="0033103E"/>
    <w:rsid w:val="00335CD3"/>
    <w:rsid w:val="00335D9E"/>
    <w:rsid w:val="003538F8"/>
    <w:rsid w:val="003620D2"/>
    <w:rsid w:val="00397770"/>
    <w:rsid w:val="003B2DDD"/>
    <w:rsid w:val="003D3AE2"/>
    <w:rsid w:val="003D696D"/>
    <w:rsid w:val="003E7CBA"/>
    <w:rsid w:val="003F0ADA"/>
    <w:rsid w:val="003F17B5"/>
    <w:rsid w:val="003F1845"/>
    <w:rsid w:val="003F46B2"/>
    <w:rsid w:val="00400C34"/>
    <w:rsid w:val="00401704"/>
    <w:rsid w:val="00404AFA"/>
    <w:rsid w:val="00411D02"/>
    <w:rsid w:val="0041675A"/>
    <w:rsid w:val="00425D62"/>
    <w:rsid w:val="004343B6"/>
    <w:rsid w:val="00443359"/>
    <w:rsid w:val="004465DD"/>
    <w:rsid w:val="00446E1C"/>
    <w:rsid w:val="00447D9B"/>
    <w:rsid w:val="00460AAF"/>
    <w:rsid w:val="004724B4"/>
    <w:rsid w:val="00472957"/>
    <w:rsid w:val="00473584"/>
    <w:rsid w:val="0048110A"/>
    <w:rsid w:val="004815C3"/>
    <w:rsid w:val="004850F0"/>
    <w:rsid w:val="00486751"/>
    <w:rsid w:val="00487374"/>
    <w:rsid w:val="00490365"/>
    <w:rsid w:val="00490E13"/>
    <w:rsid w:val="00492E2B"/>
    <w:rsid w:val="00497D4C"/>
    <w:rsid w:val="004A1C2F"/>
    <w:rsid w:val="004A3BE3"/>
    <w:rsid w:val="004B1224"/>
    <w:rsid w:val="004B18B6"/>
    <w:rsid w:val="004B5121"/>
    <w:rsid w:val="004B634D"/>
    <w:rsid w:val="004C094F"/>
    <w:rsid w:val="004C2D6B"/>
    <w:rsid w:val="004C7D2E"/>
    <w:rsid w:val="004D1555"/>
    <w:rsid w:val="004D189D"/>
    <w:rsid w:val="004E018B"/>
    <w:rsid w:val="004E5098"/>
    <w:rsid w:val="00500285"/>
    <w:rsid w:val="00504515"/>
    <w:rsid w:val="0051604F"/>
    <w:rsid w:val="00517816"/>
    <w:rsid w:val="00525BDF"/>
    <w:rsid w:val="00526061"/>
    <w:rsid w:val="00531B0F"/>
    <w:rsid w:val="00534D6F"/>
    <w:rsid w:val="00544905"/>
    <w:rsid w:val="00571184"/>
    <w:rsid w:val="00571A0C"/>
    <w:rsid w:val="005753E3"/>
    <w:rsid w:val="00580385"/>
    <w:rsid w:val="005816B2"/>
    <w:rsid w:val="005A42A8"/>
    <w:rsid w:val="005B1A28"/>
    <w:rsid w:val="005C6F53"/>
    <w:rsid w:val="005D2BDF"/>
    <w:rsid w:val="005E58E8"/>
    <w:rsid w:val="005E6E97"/>
    <w:rsid w:val="005F4905"/>
    <w:rsid w:val="005F7D2B"/>
    <w:rsid w:val="00603ADB"/>
    <w:rsid w:val="0061078A"/>
    <w:rsid w:val="006121F6"/>
    <w:rsid w:val="006402B3"/>
    <w:rsid w:val="00642F38"/>
    <w:rsid w:val="006611C2"/>
    <w:rsid w:val="00670E6B"/>
    <w:rsid w:val="00671E0E"/>
    <w:rsid w:val="00674283"/>
    <w:rsid w:val="00685814"/>
    <w:rsid w:val="00694739"/>
    <w:rsid w:val="006A022C"/>
    <w:rsid w:val="006A1CF6"/>
    <w:rsid w:val="006A4C6F"/>
    <w:rsid w:val="006B02C7"/>
    <w:rsid w:val="006C2388"/>
    <w:rsid w:val="006C67B9"/>
    <w:rsid w:val="006D0FDB"/>
    <w:rsid w:val="006D1CA6"/>
    <w:rsid w:val="006D50DB"/>
    <w:rsid w:val="006D5AC5"/>
    <w:rsid w:val="006E2599"/>
    <w:rsid w:val="006E2688"/>
    <w:rsid w:val="006F023E"/>
    <w:rsid w:val="006F03A8"/>
    <w:rsid w:val="006F0CA9"/>
    <w:rsid w:val="00720B6F"/>
    <w:rsid w:val="00723887"/>
    <w:rsid w:val="00725CF7"/>
    <w:rsid w:val="00737EB3"/>
    <w:rsid w:val="007441A2"/>
    <w:rsid w:val="007475EE"/>
    <w:rsid w:val="00751D81"/>
    <w:rsid w:val="00765353"/>
    <w:rsid w:val="0076768D"/>
    <w:rsid w:val="00770983"/>
    <w:rsid w:val="007737E1"/>
    <w:rsid w:val="00775F5F"/>
    <w:rsid w:val="00794B5F"/>
    <w:rsid w:val="007A00D6"/>
    <w:rsid w:val="007A149B"/>
    <w:rsid w:val="007A42BE"/>
    <w:rsid w:val="007B10A9"/>
    <w:rsid w:val="007B12E6"/>
    <w:rsid w:val="007B354B"/>
    <w:rsid w:val="007B3559"/>
    <w:rsid w:val="007C29A8"/>
    <w:rsid w:val="007D0A35"/>
    <w:rsid w:val="007E2988"/>
    <w:rsid w:val="007F52EF"/>
    <w:rsid w:val="008033E6"/>
    <w:rsid w:val="00805C0D"/>
    <w:rsid w:val="00811071"/>
    <w:rsid w:val="00812B84"/>
    <w:rsid w:val="00825EA4"/>
    <w:rsid w:val="00830A50"/>
    <w:rsid w:val="00830DE4"/>
    <w:rsid w:val="00833956"/>
    <w:rsid w:val="008361DE"/>
    <w:rsid w:val="008437CD"/>
    <w:rsid w:val="008441F4"/>
    <w:rsid w:val="00845372"/>
    <w:rsid w:val="00847EF4"/>
    <w:rsid w:val="008525DE"/>
    <w:rsid w:val="00855008"/>
    <w:rsid w:val="00864977"/>
    <w:rsid w:val="00866B39"/>
    <w:rsid w:val="008777B3"/>
    <w:rsid w:val="00891C8B"/>
    <w:rsid w:val="008A0F67"/>
    <w:rsid w:val="008A1094"/>
    <w:rsid w:val="008A3A58"/>
    <w:rsid w:val="008A6535"/>
    <w:rsid w:val="008B79D5"/>
    <w:rsid w:val="008C225B"/>
    <w:rsid w:val="008C2ED5"/>
    <w:rsid w:val="008C388C"/>
    <w:rsid w:val="008C3AAA"/>
    <w:rsid w:val="008E2049"/>
    <w:rsid w:val="008E35E1"/>
    <w:rsid w:val="008F2A81"/>
    <w:rsid w:val="008F41BB"/>
    <w:rsid w:val="008F71A0"/>
    <w:rsid w:val="009055F7"/>
    <w:rsid w:val="0092545C"/>
    <w:rsid w:val="00941F5F"/>
    <w:rsid w:val="00946012"/>
    <w:rsid w:val="00951D13"/>
    <w:rsid w:val="00952198"/>
    <w:rsid w:val="00953EC2"/>
    <w:rsid w:val="00957183"/>
    <w:rsid w:val="009649B2"/>
    <w:rsid w:val="00967135"/>
    <w:rsid w:val="009745EF"/>
    <w:rsid w:val="00982349"/>
    <w:rsid w:val="00996C57"/>
    <w:rsid w:val="00997261"/>
    <w:rsid w:val="009B30FB"/>
    <w:rsid w:val="009C52AC"/>
    <w:rsid w:val="009C5E32"/>
    <w:rsid w:val="009C69F7"/>
    <w:rsid w:val="009C6D11"/>
    <w:rsid w:val="009E699C"/>
    <w:rsid w:val="009F3E26"/>
    <w:rsid w:val="009F3E79"/>
    <w:rsid w:val="009F43C0"/>
    <w:rsid w:val="009F50FE"/>
    <w:rsid w:val="009F7606"/>
    <w:rsid w:val="00A05342"/>
    <w:rsid w:val="00A1335E"/>
    <w:rsid w:val="00A163CA"/>
    <w:rsid w:val="00A2116B"/>
    <w:rsid w:val="00A224A0"/>
    <w:rsid w:val="00A324BF"/>
    <w:rsid w:val="00A35588"/>
    <w:rsid w:val="00A3599B"/>
    <w:rsid w:val="00A51C15"/>
    <w:rsid w:val="00A63457"/>
    <w:rsid w:val="00A63B3D"/>
    <w:rsid w:val="00A64DA7"/>
    <w:rsid w:val="00A70C91"/>
    <w:rsid w:val="00A733B5"/>
    <w:rsid w:val="00A752CD"/>
    <w:rsid w:val="00A8344A"/>
    <w:rsid w:val="00A836BC"/>
    <w:rsid w:val="00A87AA8"/>
    <w:rsid w:val="00AA2FA9"/>
    <w:rsid w:val="00AA6F84"/>
    <w:rsid w:val="00AA723B"/>
    <w:rsid w:val="00AB55CB"/>
    <w:rsid w:val="00AB6240"/>
    <w:rsid w:val="00AC2DE7"/>
    <w:rsid w:val="00AC4067"/>
    <w:rsid w:val="00AC68B0"/>
    <w:rsid w:val="00AD04BB"/>
    <w:rsid w:val="00AD6937"/>
    <w:rsid w:val="00AE2E8F"/>
    <w:rsid w:val="00AF28CF"/>
    <w:rsid w:val="00B10ED3"/>
    <w:rsid w:val="00B1426C"/>
    <w:rsid w:val="00B2248C"/>
    <w:rsid w:val="00B3587B"/>
    <w:rsid w:val="00B3612C"/>
    <w:rsid w:val="00B406BB"/>
    <w:rsid w:val="00B637E7"/>
    <w:rsid w:val="00B640BE"/>
    <w:rsid w:val="00B8305E"/>
    <w:rsid w:val="00B83FFF"/>
    <w:rsid w:val="00B84BCA"/>
    <w:rsid w:val="00B86EDA"/>
    <w:rsid w:val="00B97DAE"/>
    <w:rsid w:val="00BA2CB5"/>
    <w:rsid w:val="00BA64CD"/>
    <w:rsid w:val="00BA7E2C"/>
    <w:rsid w:val="00BB7A1D"/>
    <w:rsid w:val="00BC73AB"/>
    <w:rsid w:val="00BD230E"/>
    <w:rsid w:val="00BD253C"/>
    <w:rsid w:val="00BD2A75"/>
    <w:rsid w:val="00BD55DD"/>
    <w:rsid w:val="00BE4F9D"/>
    <w:rsid w:val="00BE711E"/>
    <w:rsid w:val="00C01B4D"/>
    <w:rsid w:val="00C0316D"/>
    <w:rsid w:val="00C06549"/>
    <w:rsid w:val="00C0680B"/>
    <w:rsid w:val="00C07818"/>
    <w:rsid w:val="00C104EA"/>
    <w:rsid w:val="00C37E37"/>
    <w:rsid w:val="00C426E0"/>
    <w:rsid w:val="00C44D4F"/>
    <w:rsid w:val="00C4738D"/>
    <w:rsid w:val="00C53824"/>
    <w:rsid w:val="00C5769E"/>
    <w:rsid w:val="00C63366"/>
    <w:rsid w:val="00C72339"/>
    <w:rsid w:val="00C9591F"/>
    <w:rsid w:val="00CA060D"/>
    <w:rsid w:val="00CB58C5"/>
    <w:rsid w:val="00CC1A22"/>
    <w:rsid w:val="00CC39D0"/>
    <w:rsid w:val="00CD6CE2"/>
    <w:rsid w:val="00CD7E5A"/>
    <w:rsid w:val="00CE501F"/>
    <w:rsid w:val="00D01695"/>
    <w:rsid w:val="00D0206D"/>
    <w:rsid w:val="00D03BB6"/>
    <w:rsid w:val="00D241D8"/>
    <w:rsid w:val="00D314A1"/>
    <w:rsid w:val="00D41218"/>
    <w:rsid w:val="00D41FB3"/>
    <w:rsid w:val="00D4468F"/>
    <w:rsid w:val="00D457EB"/>
    <w:rsid w:val="00D50900"/>
    <w:rsid w:val="00D5582F"/>
    <w:rsid w:val="00D566DB"/>
    <w:rsid w:val="00D63528"/>
    <w:rsid w:val="00D70341"/>
    <w:rsid w:val="00D859BC"/>
    <w:rsid w:val="00D871E6"/>
    <w:rsid w:val="00DA2548"/>
    <w:rsid w:val="00DA6AC5"/>
    <w:rsid w:val="00DB50F9"/>
    <w:rsid w:val="00DB7791"/>
    <w:rsid w:val="00DC46AB"/>
    <w:rsid w:val="00DC5929"/>
    <w:rsid w:val="00DE7B24"/>
    <w:rsid w:val="00E023BD"/>
    <w:rsid w:val="00E0546B"/>
    <w:rsid w:val="00E20498"/>
    <w:rsid w:val="00E30EF2"/>
    <w:rsid w:val="00E33B91"/>
    <w:rsid w:val="00E37A55"/>
    <w:rsid w:val="00E40C86"/>
    <w:rsid w:val="00E43457"/>
    <w:rsid w:val="00E47156"/>
    <w:rsid w:val="00E62D45"/>
    <w:rsid w:val="00E63E74"/>
    <w:rsid w:val="00E653E5"/>
    <w:rsid w:val="00E65B0C"/>
    <w:rsid w:val="00E66B09"/>
    <w:rsid w:val="00E71638"/>
    <w:rsid w:val="00E72489"/>
    <w:rsid w:val="00E73DB7"/>
    <w:rsid w:val="00E7654A"/>
    <w:rsid w:val="00E877B0"/>
    <w:rsid w:val="00E87EA2"/>
    <w:rsid w:val="00E964B1"/>
    <w:rsid w:val="00EA143E"/>
    <w:rsid w:val="00EB2398"/>
    <w:rsid w:val="00EB27F3"/>
    <w:rsid w:val="00EB56E7"/>
    <w:rsid w:val="00EC22B8"/>
    <w:rsid w:val="00EC4A87"/>
    <w:rsid w:val="00EC5DD1"/>
    <w:rsid w:val="00ED5E3D"/>
    <w:rsid w:val="00EE09F2"/>
    <w:rsid w:val="00EE38EE"/>
    <w:rsid w:val="00EE5E80"/>
    <w:rsid w:val="00EF099C"/>
    <w:rsid w:val="00EF1480"/>
    <w:rsid w:val="00F0193C"/>
    <w:rsid w:val="00F01EC7"/>
    <w:rsid w:val="00F17C46"/>
    <w:rsid w:val="00F30436"/>
    <w:rsid w:val="00F37759"/>
    <w:rsid w:val="00F4021A"/>
    <w:rsid w:val="00F41092"/>
    <w:rsid w:val="00F46562"/>
    <w:rsid w:val="00F51751"/>
    <w:rsid w:val="00F60122"/>
    <w:rsid w:val="00F67110"/>
    <w:rsid w:val="00F748A2"/>
    <w:rsid w:val="00F76268"/>
    <w:rsid w:val="00F8093B"/>
    <w:rsid w:val="00F82841"/>
    <w:rsid w:val="00F87BC3"/>
    <w:rsid w:val="00F914B8"/>
    <w:rsid w:val="00FA2592"/>
    <w:rsid w:val="00FA348F"/>
    <w:rsid w:val="00FA3F26"/>
    <w:rsid w:val="00FA4C07"/>
    <w:rsid w:val="00FB73D2"/>
    <w:rsid w:val="00FC790F"/>
    <w:rsid w:val="00FD05B1"/>
    <w:rsid w:val="00FE5262"/>
    <w:rsid w:val="00FE7452"/>
    <w:rsid w:val="00FF1814"/>
    <w:rsid w:val="00FF584C"/>
    <w:rsid w:val="00FF79CB"/>
    <w:rsid w:val="024E5301"/>
    <w:rsid w:val="02D05560"/>
    <w:rsid w:val="100D75B4"/>
    <w:rsid w:val="12A83F9E"/>
    <w:rsid w:val="1765007B"/>
    <w:rsid w:val="1997297C"/>
    <w:rsid w:val="1A894352"/>
    <w:rsid w:val="1D1525CB"/>
    <w:rsid w:val="22C745EF"/>
    <w:rsid w:val="23C860B3"/>
    <w:rsid w:val="27E335EF"/>
    <w:rsid w:val="298F1421"/>
    <w:rsid w:val="2C2C2D1F"/>
    <w:rsid w:val="301C0C7C"/>
    <w:rsid w:val="324076B6"/>
    <w:rsid w:val="32A65A42"/>
    <w:rsid w:val="35CF32D1"/>
    <w:rsid w:val="38D34E86"/>
    <w:rsid w:val="3B1B275E"/>
    <w:rsid w:val="3B895CD0"/>
    <w:rsid w:val="491E1B31"/>
    <w:rsid w:val="4AD2763B"/>
    <w:rsid w:val="4C607764"/>
    <w:rsid w:val="4DCD4142"/>
    <w:rsid w:val="502F4C40"/>
    <w:rsid w:val="545D08E1"/>
    <w:rsid w:val="58037CB1"/>
    <w:rsid w:val="58C63C68"/>
    <w:rsid w:val="5DC6470A"/>
    <w:rsid w:val="5F182073"/>
    <w:rsid w:val="6358190C"/>
    <w:rsid w:val="656F7BC4"/>
    <w:rsid w:val="69AE7F15"/>
    <w:rsid w:val="6AB12B4C"/>
    <w:rsid w:val="6B8E2D0B"/>
    <w:rsid w:val="6D1F1741"/>
    <w:rsid w:val="6F912DE8"/>
    <w:rsid w:val="75714547"/>
    <w:rsid w:val="76AC2297"/>
    <w:rsid w:val="7A6D1DC0"/>
    <w:rsid w:val="7CA0289E"/>
    <w:rsid w:val="7CEE1DFD"/>
    <w:rsid w:val="7D3602DD"/>
    <w:rsid w:val="7DFF53A3"/>
    <w:rsid w:val="7EDB0D33"/>
    <w:rsid w:val="FE36EA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2"/>
    <w:basedOn w:val="1"/>
    <w:next w:val="1"/>
    <w:link w:val="18"/>
    <w:unhideWhenUsed/>
    <w:qFormat/>
    <w:uiPriority w:val="0"/>
    <w:pPr>
      <w:keepNext/>
      <w:keepLines/>
      <w:spacing w:before="260" w:after="260" w:line="413" w:lineRule="auto"/>
      <w:outlineLvl w:val="1"/>
    </w:pPr>
    <w:rPr>
      <w:rFonts w:ascii="DejaVu Sans" w:hAnsi="DejaVu Sans" w:eastAsia="方正黑体_GBK" w:cstheme="minorBidi"/>
      <w:b/>
      <w:sz w:val="32"/>
      <w:szCs w:val="24"/>
    </w:rPr>
  </w:style>
  <w:style w:type="paragraph" w:styleId="4">
    <w:name w:val="heading 3"/>
    <w:basedOn w:val="1"/>
    <w:next w:val="1"/>
    <w:link w:val="19"/>
    <w:unhideWhenUsed/>
    <w:qFormat/>
    <w:uiPriority w:val="0"/>
    <w:pPr>
      <w:keepNext/>
      <w:keepLines/>
      <w:spacing w:before="260" w:after="260" w:line="413" w:lineRule="auto"/>
      <w:outlineLvl w:val="2"/>
    </w:pPr>
    <w:rPr>
      <w:rFonts w:asciiTheme="minorHAnsi" w:hAnsiTheme="minorHAnsi" w:eastAsiaTheme="minorEastAsia" w:cstheme="minorBidi"/>
      <w:b/>
      <w:sz w:val="32"/>
      <w:szCs w:val="24"/>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0"/>
    <w:pPr>
      <w:widowControl/>
      <w:jc w:val="left"/>
    </w:pPr>
    <w:rPr>
      <w:rFonts w:ascii="宋体" w:hAnsi="宋体" w:cs="宋体"/>
      <w:kern w:val="0"/>
      <w:sz w:val="24"/>
    </w:rPr>
  </w:style>
  <w:style w:type="paragraph" w:styleId="5">
    <w:name w:val="caption"/>
    <w:basedOn w:val="1"/>
    <w:next w:val="1"/>
    <w:qFormat/>
    <w:uiPriority w:val="0"/>
    <w:rPr>
      <w:rFonts w:ascii="DejaVu Sans" w:hAnsi="DejaVu Sans" w:eastAsia="方正黑体_GBK"/>
      <w:sz w:val="20"/>
      <w:szCs w:val="20"/>
    </w:rPr>
  </w:style>
  <w:style w:type="paragraph" w:styleId="6">
    <w:name w:val="Body Text Indent"/>
    <w:basedOn w:val="1"/>
    <w:link w:val="22"/>
    <w:uiPriority w:val="0"/>
    <w:pPr>
      <w:spacing w:after="120"/>
      <w:ind w:left="420" w:leftChars="200"/>
    </w:pPr>
  </w:style>
  <w:style w:type="paragraph" w:styleId="7">
    <w:name w:val="Balloon Text"/>
    <w:basedOn w:val="1"/>
    <w:link w:val="21"/>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footnote text"/>
    <w:basedOn w:val="1"/>
    <w:qFormat/>
    <w:uiPriority w:val="0"/>
    <w:pPr>
      <w:snapToGrid w:val="0"/>
      <w:jc w:val="left"/>
    </w:pPr>
    <w:rPr>
      <w:sz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2">
    <w:name w:val="Body Text First Indent 2"/>
    <w:basedOn w:val="6"/>
    <w:link w:val="23"/>
    <w:uiPriority w:val="0"/>
    <w:pPr>
      <w:ind w:firstLine="420" w:firstLineChars="200"/>
    </w:pPr>
  </w:style>
  <w:style w:type="character" w:styleId="15">
    <w:name w:val="Strong"/>
    <w:basedOn w:val="14"/>
    <w:qFormat/>
    <w:uiPriority w:val="22"/>
    <w:rPr>
      <w:b/>
      <w:bCs/>
    </w:rPr>
  </w:style>
  <w:style w:type="character" w:styleId="16">
    <w:name w:val="footnote reference"/>
    <w:basedOn w:val="14"/>
    <w:qFormat/>
    <w:uiPriority w:val="0"/>
    <w:rPr>
      <w:vertAlign w:val="superscript"/>
    </w:rPr>
  </w:style>
  <w:style w:type="paragraph" w:styleId="17">
    <w:name w:val="List Paragraph"/>
    <w:basedOn w:val="1"/>
    <w:qFormat/>
    <w:uiPriority w:val="34"/>
    <w:pPr>
      <w:ind w:firstLine="420" w:firstLineChars="200"/>
    </w:pPr>
  </w:style>
  <w:style w:type="character" w:customStyle="1" w:styleId="18">
    <w:name w:val="标题 2 字符"/>
    <w:basedOn w:val="14"/>
    <w:link w:val="3"/>
    <w:qFormat/>
    <w:uiPriority w:val="0"/>
    <w:rPr>
      <w:rFonts w:ascii="DejaVu Sans" w:hAnsi="DejaVu Sans" w:eastAsia="方正黑体_GBK"/>
      <w:b/>
      <w:kern w:val="2"/>
      <w:sz w:val="32"/>
      <w:szCs w:val="24"/>
    </w:rPr>
  </w:style>
  <w:style w:type="character" w:customStyle="1" w:styleId="19">
    <w:name w:val="标题 3 字符"/>
    <w:basedOn w:val="14"/>
    <w:link w:val="4"/>
    <w:qFormat/>
    <w:uiPriority w:val="0"/>
    <w:rPr>
      <w:b/>
      <w:kern w:val="2"/>
      <w:sz w:val="32"/>
      <w:szCs w:val="24"/>
    </w:rPr>
  </w:style>
  <w:style w:type="character" w:customStyle="1" w:styleId="20">
    <w:name w:val="font21"/>
    <w:basedOn w:val="14"/>
    <w:qFormat/>
    <w:uiPriority w:val="0"/>
    <w:rPr>
      <w:rFonts w:hint="eastAsia" w:ascii="宋体" w:hAnsi="宋体" w:eastAsia="宋体" w:cs="宋体"/>
      <w:color w:val="000000"/>
      <w:sz w:val="24"/>
      <w:szCs w:val="24"/>
      <w:u w:val="none"/>
    </w:rPr>
  </w:style>
  <w:style w:type="character" w:customStyle="1" w:styleId="21">
    <w:name w:val="批注框文本 字符"/>
    <w:basedOn w:val="14"/>
    <w:link w:val="7"/>
    <w:uiPriority w:val="0"/>
    <w:rPr>
      <w:rFonts w:ascii="Calibri" w:hAnsi="Calibri"/>
      <w:kern w:val="2"/>
      <w:sz w:val="18"/>
      <w:szCs w:val="18"/>
    </w:rPr>
  </w:style>
  <w:style w:type="character" w:customStyle="1" w:styleId="22">
    <w:name w:val="正文文本缩进 字符"/>
    <w:basedOn w:val="14"/>
    <w:link w:val="6"/>
    <w:uiPriority w:val="0"/>
    <w:rPr>
      <w:rFonts w:ascii="Calibri" w:hAnsi="Calibri"/>
      <w:kern w:val="2"/>
      <w:sz w:val="21"/>
      <w:szCs w:val="21"/>
    </w:rPr>
  </w:style>
  <w:style w:type="character" w:customStyle="1" w:styleId="23">
    <w:name w:val="正文文本首行缩进 2 字符"/>
    <w:basedOn w:val="22"/>
    <w:link w:val="12"/>
    <w:uiPriority w:val="0"/>
    <w:rPr>
      <w:rFonts w:ascii="Calibri" w:hAnsi="Calibri"/>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0.jpeg"/><Relationship Id="rId34" Type="http://schemas.openxmlformats.org/officeDocument/2006/relationships/image" Target="media/image19.emf"/><Relationship Id="rId33" Type="http://schemas.openxmlformats.org/officeDocument/2006/relationships/package" Target="embeddings/Workbook9.xlsx"/><Relationship Id="rId32" Type="http://schemas.openxmlformats.org/officeDocument/2006/relationships/image" Target="media/image18.emf"/><Relationship Id="rId31" Type="http://schemas.openxmlformats.org/officeDocument/2006/relationships/package" Target="embeddings/Workbook8.xlsx"/><Relationship Id="rId30" Type="http://schemas.openxmlformats.org/officeDocument/2006/relationships/image" Target="media/image17.emf"/><Relationship Id="rId3" Type="http://schemas.openxmlformats.org/officeDocument/2006/relationships/footnotes" Target="footnotes.xml"/><Relationship Id="rId29" Type="http://schemas.openxmlformats.org/officeDocument/2006/relationships/package" Target="embeddings/Workbook7.xlsx"/><Relationship Id="rId28" Type="http://schemas.openxmlformats.org/officeDocument/2006/relationships/image" Target="media/image16.emf"/><Relationship Id="rId27" Type="http://schemas.openxmlformats.org/officeDocument/2006/relationships/package" Target="embeddings/Workbook6.xlsx"/><Relationship Id="rId26" Type="http://schemas.openxmlformats.org/officeDocument/2006/relationships/image" Target="media/image15.emf"/><Relationship Id="rId25" Type="http://schemas.openxmlformats.org/officeDocument/2006/relationships/package" Target="embeddings/Workbook5.xlsx"/><Relationship Id="rId24" Type="http://schemas.openxmlformats.org/officeDocument/2006/relationships/image" Target="media/image14.png"/><Relationship Id="rId23" Type="http://schemas.openxmlformats.org/officeDocument/2006/relationships/image" Target="media/image13.emf"/><Relationship Id="rId22" Type="http://schemas.openxmlformats.org/officeDocument/2006/relationships/package" Target="embeddings/Workbook4.xlsx"/><Relationship Id="rId21" Type="http://schemas.openxmlformats.org/officeDocument/2006/relationships/package" Target="embeddings/Workbook3.xlsx"/><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package" Target="embeddings/Workbook2.xlsx"/><Relationship Id="rId17" Type="http://schemas.openxmlformats.org/officeDocument/2006/relationships/image" Target="media/image10.png"/><Relationship Id="rId16" Type="http://schemas.openxmlformats.org/officeDocument/2006/relationships/image" Target="media/image9.emf"/><Relationship Id="rId15" Type="http://schemas.openxmlformats.org/officeDocument/2006/relationships/package" Target="embeddings/Workbook1.xlsx"/><Relationship Id="rId14" Type="http://schemas.microsoft.com/office/2007/relationships/hdphoto" Target="media/image8.wdp"/><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16</Pages>
  <Words>1535</Words>
  <Characters>8756</Characters>
  <Lines>72</Lines>
  <Paragraphs>20</Paragraphs>
  <TotalTime>1088</TotalTime>
  <ScaleCrop>false</ScaleCrop>
  <LinksUpToDate>false</LinksUpToDate>
  <CharactersWithSpaces>10271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2022-08-30T21:21:00Z</dcterms:created>
  <dc:creator>xl</dc:creator>
  <cp:lastModifiedBy>尚</cp:lastModifiedBy>
  <dcterms:modified xsi:type="dcterms:W3CDTF">2023-09-18T03:20:42Z</dcterms:modified>
  <cp:revision>504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ADD746F118F44E3E85FCACA97650ABC5</vt:lpwstr>
  </property>
</Properties>
</file>